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864FF" w:rsidRPr="00FB1248" w:rsidTr="00EB1022">
        <w:trPr>
          <w:trHeight w:hRule="exact" w:val="1418"/>
        </w:trPr>
        <w:tc>
          <w:tcPr>
            <w:tcW w:w="6804" w:type="dxa"/>
            <w:shd w:val="clear" w:color="auto" w:fill="auto"/>
            <w:vAlign w:val="center"/>
          </w:tcPr>
          <w:p w:rsidR="004864FF" w:rsidRPr="00FB1248" w:rsidRDefault="00F1046C" w:rsidP="00EB1022">
            <w:pPr>
              <w:pStyle w:val="EPName"/>
            </w:pPr>
            <w:bookmarkStart w:id="0" w:name="_GoBack"/>
            <w:bookmarkEnd w:id="0"/>
            <w:r w:rsidRPr="00FB1248">
              <w:t>Europäisches Parlament</w:t>
            </w:r>
          </w:p>
          <w:p w:rsidR="004864FF" w:rsidRPr="00FB1248" w:rsidRDefault="00C13C52" w:rsidP="00C13C52">
            <w:pPr>
              <w:pStyle w:val="EPTerm"/>
              <w:rPr>
                <w:rStyle w:val="HideTWBExt"/>
                <w:noProof w:val="0"/>
                <w:vanish w:val="0"/>
                <w:color w:val="auto"/>
              </w:rPr>
            </w:pPr>
            <w:r w:rsidRPr="00FB1248">
              <w:t>2019-2024</w:t>
            </w:r>
          </w:p>
        </w:tc>
        <w:tc>
          <w:tcPr>
            <w:tcW w:w="2268" w:type="dxa"/>
            <w:shd w:val="clear" w:color="auto" w:fill="auto"/>
          </w:tcPr>
          <w:p w:rsidR="004864FF" w:rsidRPr="00FB1248" w:rsidRDefault="001701B3" w:rsidP="00EB1022">
            <w:pPr>
              <w:pStyle w:val="EPLogo"/>
            </w:pPr>
            <w:r w:rsidRPr="00FB1248">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C71A3C" w:rsidRPr="00FB1248" w:rsidRDefault="00C71A3C" w:rsidP="00C71A3C">
      <w:pPr>
        <w:pStyle w:val="LineTop"/>
      </w:pPr>
    </w:p>
    <w:p w:rsidR="00C71A3C" w:rsidRPr="00FB1248" w:rsidRDefault="005404FC" w:rsidP="00C71A3C">
      <w:pPr>
        <w:pStyle w:val="EPBody"/>
      </w:pPr>
      <w:r w:rsidRPr="00FB1248">
        <w:t>Plenarsitzungsdokument</w:t>
      </w:r>
    </w:p>
    <w:p w:rsidR="00C71A3C" w:rsidRPr="00FB1248" w:rsidRDefault="00C71A3C" w:rsidP="00C71A3C">
      <w:pPr>
        <w:pStyle w:val="LineBottom"/>
      </w:pPr>
    </w:p>
    <w:p w:rsidR="00ED0821" w:rsidRPr="00FB1248" w:rsidRDefault="005404FC">
      <w:pPr>
        <w:pStyle w:val="CoverReference"/>
      </w:pPr>
      <w:r w:rsidRPr="00FB1248">
        <w:rPr>
          <w:rStyle w:val="HideTWBExt"/>
        </w:rPr>
        <w:t>&lt;NoDocSe&gt;</w:t>
      </w:r>
      <w:r w:rsidRPr="00FB1248">
        <w:t>A9-0257/2020</w:t>
      </w:r>
      <w:r w:rsidRPr="00FB1248">
        <w:rPr>
          <w:rStyle w:val="HideTWBExt"/>
        </w:rPr>
        <w:t>&lt;/NoDocSe&gt;</w:t>
      </w:r>
    </w:p>
    <w:p w:rsidR="00ED0821" w:rsidRPr="00FB1248" w:rsidRDefault="00ED0821">
      <w:pPr>
        <w:pStyle w:val="CoverDate"/>
      </w:pPr>
      <w:r w:rsidRPr="00FB1248">
        <w:rPr>
          <w:rStyle w:val="HideTWBExt"/>
        </w:rPr>
        <w:t>&lt;Date&gt;</w:t>
      </w:r>
      <w:r w:rsidRPr="00FB1248">
        <w:rPr>
          <w:rStyle w:val="HideTWBInt"/>
        </w:rPr>
        <w:t>{11/12/2020}</w:t>
      </w:r>
      <w:r w:rsidRPr="00FB1248">
        <w:t>11.12.2020</w:t>
      </w:r>
      <w:r w:rsidRPr="00FB1248">
        <w:rPr>
          <w:rStyle w:val="HideTWBExt"/>
        </w:rPr>
        <w:t>&lt;/Date&gt;</w:t>
      </w:r>
    </w:p>
    <w:p w:rsidR="00ED0821" w:rsidRPr="00FB1248" w:rsidRDefault="00ED0821">
      <w:pPr>
        <w:pStyle w:val="CoverDocType"/>
      </w:pPr>
      <w:r w:rsidRPr="00FB1248">
        <w:rPr>
          <w:rStyle w:val="HideTWBExt"/>
          <w:b w:val="0"/>
        </w:rPr>
        <w:t>&lt;RefProcLect&gt;</w:t>
      </w:r>
      <w:r w:rsidRPr="00FB1248">
        <w:t>***I</w:t>
      </w:r>
      <w:r w:rsidRPr="00FB1248">
        <w:rPr>
          <w:rStyle w:val="HideTWBExt"/>
          <w:b w:val="0"/>
        </w:rPr>
        <w:t>&lt;/RefProcLect&gt;</w:t>
      </w:r>
    </w:p>
    <w:p w:rsidR="00ED0821" w:rsidRPr="00FB1248" w:rsidRDefault="00ED0821">
      <w:pPr>
        <w:pStyle w:val="CoverDocType24a"/>
      </w:pPr>
      <w:r w:rsidRPr="00FB1248">
        <w:rPr>
          <w:rStyle w:val="HideTWBExt"/>
          <w:b w:val="0"/>
        </w:rPr>
        <w:t>&lt;TitreType&gt;</w:t>
      </w:r>
      <w:r w:rsidRPr="00FB1248">
        <w:t>BERICHT</w:t>
      </w:r>
      <w:r w:rsidRPr="00FB1248">
        <w:rPr>
          <w:rStyle w:val="HideTWBExt"/>
          <w:b w:val="0"/>
        </w:rPr>
        <w:t>&lt;/TitreType&gt;</w:t>
      </w:r>
    </w:p>
    <w:p w:rsidR="00ED0821" w:rsidRPr="00FB1248" w:rsidRDefault="00ED0821">
      <w:pPr>
        <w:pStyle w:val="CoverNormal"/>
      </w:pPr>
      <w:r w:rsidRPr="00FB1248">
        <w:rPr>
          <w:rStyle w:val="HideTWBExt"/>
        </w:rPr>
        <w:t>&lt;Titre&gt;</w:t>
      </w:r>
      <w:r w:rsidRPr="00FB1248">
        <w:t>über den Vorschlag für eine Richtlinie des Europäischen Parlaments und des Rates zur Festlegung einheitlicher Regeln für die Bestellung von Vertretern zu Zwecken der Beweiserhebung in Strafverfahren</w:t>
      </w:r>
      <w:r w:rsidRPr="00FB1248">
        <w:rPr>
          <w:rStyle w:val="HideTWBExt"/>
        </w:rPr>
        <w:t>&lt;/Titre&gt;</w:t>
      </w:r>
    </w:p>
    <w:p w:rsidR="00ED0821" w:rsidRPr="00FB1248" w:rsidRDefault="00ED0821">
      <w:pPr>
        <w:pStyle w:val="CoverNormal24a"/>
      </w:pPr>
      <w:r w:rsidRPr="00FB1248">
        <w:rPr>
          <w:rStyle w:val="HideTWBExt"/>
        </w:rPr>
        <w:t>&lt;DocRef&gt;</w:t>
      </w:r>
      <w:r w:rsidRPr="00FB1248">
        <w:t>(COM(2018)0226 – C8-0154/2018 – 2018/0107(COD))</w:t>
      </w:r>
      <w:r w:rsidRPr="00FB1248">
        <w:rPr>
          <w:rStyle w:val="HideTWBExt"/>
        </w:rPr>
        <w:t>&lt;/DocRef&gt;</w:t>
      </w:r>
    </w:p>
    <w:p w:rsidR="00ED0821" w:rsidRPr="00FB1248" w:rsidRDefault="00ED0821">
      <w:pPr>
        <w:pStyle w:val="CoverNormal24a"/>
      </w:pPr>
      <w:r w:rsidRPr="00FB1248">
        <w:rPr>
          <w:rStyle w:val="HideTWBExt"/>
        </w:rPr>
        <w:t>&lt;Commission&gt;</w:t>
      </w:r>
      <w:r w:rsidRPr="00FB1248">
        <w:rPr>
          <w:rStyle w:val="HideTWBInt"/>
        </w:rPr>
        <w:t>{LIBE}</w:t>
      </w:r>
      <w:r w:rsidRPr="00FB1248">
        <w:t>Ausschuss für bürgerliche Freiheiten, Justiz und Inneres</w:t>
      </w:r>
      <w:r w:rsidRPr="00FB1248">
        <w:rPr>
          <w:rStyle w:val="HideTWBExt"/>
        </w:rPr>
        <w:t>&lt;/Commission&gt;</w:t>
      </w:r>
    </w:p>
    <w:p w:rsidR="00ED0821" w:rsidRPr="00FB1248" w:rsidRDefault="00C13C52">
      <w:pPr>
        <w:pStyle w:val="CoverNormal24a"/>
      </w:pPr>
      <w:r w:rsidRPr="00FB1248">
        <w:t xml:space="preserve">Berichterstatterin: </w:t>
      </w:r>
      <w:r w:rsidRPr="00FB1248">
        <w:rPr>
          <w:rStyle w:val="HideTWBExt"/>
        </w:rPr>
        <w:t>&lt;Depute&gt;</w:t>
      </w:r>
      <w:r w:rsidRPr="00FB1248">
        <w:t>Birgit Sippel</w:t>
      </w:r>
      <w:r w:rsidRPr="00FB1248">
        <w:rPr>
          <w:rStyle w:val="HideTWBExt"/>
        </w:rPr>
        <w:t>&lt;/Depute&gt;</w:t>
      </w:r>
    </w:p>
    <w:p w:rsidR="00BE4EC7" w:rsidRPr="00FB1248" w:rsidRDefault="00BE4EC7" w:rsidP="00BE4EC7">
      <w:pPr>
        <w:pStyle w:val="CoverNormal"/>
      </w:pPr>
    </w:p>
    <w:p w:rsidR="00C13C52" w:rsidRPr="00FB1248" w:rsidRDefault="00ED0821" w:rsidP="00894923">
      <w:r w:rsidRPr="00FB1248">
        <w:br w:type="page"/>
      </w:r>
      <w:r w:rsidR="009A07C0">
        <w:lastRenderedPageBreak/>
        <w:fldChar w:fldCharType="begin"/>
      </w:r>
      <w:r w:rsidR="009A07C0">
        <w:instrText xml:space="preserve"> TITLE  \* MERGEFORMAT </w:instrText>
      </w:r>
      <w:r w:rsidR="009A07C0">
        <w:fldChar w:fldCharType="separate"/>
      </w:r>
      <w:r w:rsidR="00FB1248">
        <w:t>PR_COD_1rej</w:t>
      </w:r>
      <w:r w:rsidR="009A07C0">
        <w:fldChar w:fldCharType="end"/>
      </w:r>
    </w:p>
    <w:p w:rsidR="00C13C52" w:rsidRPr="00FB1248" w:rsidRDefault="00C13C52" w:rsidP="00894923"/>
    <w:p w:rsidR="00C13C52" w:rsidRPr="00FB1248" w:rsidRDefault="00C13C52" w:rsidP="00894923"/>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C13C52" w:rsidRPr="00FB1248">
        <w:tc>
          <w:tcPr>
            <w:tcW w:w="5811" w:type="dxa"/>
          </w:tcPr>
          <w:p w:rsidR="00C13C52" w:rsidRPr="00FB1248" w:rsidRDefault="00C13C52" w:rsidP="00894923">
            <w:pPr>
              <w:pStyle w:val="Lgendetitre"/>
            </w:pPr>
            <w:r w:rsidRPr="00FB1248">
              <w:t>Erklärung der benutzten Zeichen</w:t>
            </w:r>
          </w:p>
        </w:tc>
      </w:tr>
      <w:tr w:rsidR="00C13C52" w:rsidRPr="00FB1248" w:rsidTr="00C50C36">
        <w:trPr>
          <w:cantSplit/>
          <w:trHeight w:val="1944"/>
        </w:trPr>
        <w:tc>
          <w:tcPr>
            <w:tcW w:w="5811" w:type="dxa"/>
            <w:tcBorders>
              <w:bottom w:val="single" w:sz="4" w:space="0" w:color="auto"/>
            </w:tcBorders>
          </w:tcPr>
          <w:p w:rsidR="00C13C52" w:rsidRPr="00FB1248" w:rsidRDefault="00C13C52" w:rsidP="00A225F3">
            <w:pPr>
              <w:pStyle w:val="Lgendesigne"/>
              <w:rPr>
                <w:szCs w:val="24"/>
              </w:rPr>
            </w:pPr>
            <w:r w:rsidRPr="00FB1248">
              <w:tab/>
              <w:t>*</w:t>
            </w:r>
            <w:r w:rsidRPr="00FB1248">
              <w:tab/>
              <w:t>Anhörungsverfahren</w:t>
            </w:r>
          </w:p>
          <w:p w:rsidR="00C13C52" w:rsidRPr="00FB1248" w:rsidRDefault="00C13C52" w:rsidP="00A225F3">
            <w:pPr>
              <w:pStyle w:val="Lgendesigne"/>
              <w:rPr>
                <w:szCs w:val="24"/>
              </w:rPr>
            </w:pPr>
            <w:r w:rsidRPr="00FB1248">
              <w:tab/>
              <w:t>***</w:t>
            </w:r>
            <w:r w:rsidRPr="00FB1248">
              <w:tab/>
              <w:t>Zustimmungsverfahren</w:t>
            </w:r>
          </w:p>
          <w:p w:rsidR="00C13C52" w:rsidRPr="00FB1248" w:rsidRDefault="00C13C52" w:rsidP="00A225F3">
            <w:pPr>
              <w:pStyle w:val="Lgendesigne"/>
              <w:rPr>
                <w:szCs w:val="24"/>
              </w:rPr>
            </w:pPr>
            <w:r w:rsidRPr="00FB1248">
              <w:tab/>
              <w:t>***I</w:t>
            </w:r>
            <w:r w:rsidRPr="00FB1248">
              <w:tab/>
              <w:t>Ordentliches Gesetzgebungsverfahren (erste Lesung)</w:t>
            </w:r>
          </w:p>
          <w:p w:rsidR="00C13C52" w:rsidRPr="00FB1248" w:rsidRDefault="00C13C52" w:rsidP="00A225F3">
            <w:pPr>
              <w:pStyle w:val="Lgendesigne"/>
              <w:rPr>
                <w:szCs w:val="24"/>
              </w:rPr>
            </w:pPr>
            <w:r w:rsidRPr="00FB1248">
              <w:tab/>
              <w:t>***II</w:t>
            </w:r>
            <w:r w:rsidRPr="00FB1248">
              <w:tab/>
              <w:t>Ordentliches Gesetzgebungsverfahren (zweite Lesung)</w:t>
            </w:r>
          </w:p>
          <w:p w:rsidR="00C13C52" w:rsidRPr="00FB1248" w:rsidRDefault="00C13C52" w:rsidP="00A225F3">
            <w:pPr>
              <w:pStyle w:val="Lgendesigne"/>
              <w:rPr>
                <w:szCs w:val="24"/>
              </w:rPr>
            </w:pPr>
            <w:r w:rsidRPr="00FB1248">
              <w:tab/>
              <w:t>***III</w:t>
            </w:r>
            <w:r w:rsidRPr="00FB1248">
              <w:tab/>
              <w:t>Ordentliches Gesetzgebungsverfahren (dritte Lesung)</w:t>
            </w:r>
          </w:p>
          <w:p w:rsidR="00C13C52" w:rsidRPr="00FB1248" w:rsidRDefault="00C13C52" w:rsidP="00A225F3">
            <w:pPr>
              <w:pStyle w:val="Lgendestandard"/>
            </w:pPr>
          </w:p>
          <w:p w:rsidR="00C13C52" w:rsidRPr="00FB1248" w:rsidRDefault="00C13C52" w:rsidP="00A225F3">
            <w:pPr>
              <w:pStyle w:val="Lgendestandard"/>
            </w:pPr>
            <w:r w:rsidRPr="00FB1248">
              <w:t>(Die Angabe des Verfahrens beruht auf der im Entwurf eines Rechtsakts vorgeschlagenen Rechtsgrundlage.)</w:t>
            </w:r>
          </w:p>
          <w:p w:rsidR="00C13C52" w:rsidRPr="00FB1248" w:rsidRDefault="00C13C52" w:rsidP="00E36DAF">
            <w:pPr>
              <w:pStyle w:val="Lgendestandard"/>
            </w:pPr>
          </w:p>
        </w:tc>
      </w:tr>
    </w:tbl>
    <w:p w:rsidR="00C13C52" w:rsidRPr="00FB1248" w:rsidRDefault="00C13C52" w:rsidP="00894923"/>
    <w:p w:rsidR="00C13C52" w:rsidRPr="00FB1248" w:rsidRDefault="00C13C52" w:rsidP="00894923"/>
    <w:p w:rsidR="00C13C52" w:rsidRPr="00FB1248" w:rsidRDefault="00C13C52" w:rsidP="00894923"/>
    <w:p w:rsidR="00C13C52" w:rsidRPr="00FB1248" w:rsidRDefault="00C13C52" w:rsidP="00894923"/>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C13C52" w:rsidRPr="00FB1248">
        <w:tc>
          <w:tcPr>
            <w:tcW w:w="5811" w:type="dxa"/>
          </w:tcPr>
          <w:p w:rsidR="00C13C52" w:rsidRPr="00FB1248" w:rsidRDefault="00C13C52" w:rsidP="00894923">
            <w:pPr>
              <w:pStyle w:val="Lgendetitre"/>
            </w:pPr>
            <w:r w:rsidRPr="00FB1248">
              <w:t>Änderungsanträge zu einem Entwurf eines Rechtsakts</w:t>
            </w:r>
          </w:p>
        </w:tc>
      </w:tr>
      <w:tr w:rsidR="00C13C52" w:rsidRPr="00FB1248" w:rsidTr="00225D8A">
        <w:trPr>
          <w:trHeight w:val="5490"/>
        </w:trPr>
        <w:tc>
          <w:tcPr>
            <w:tcW w:w="5811" w:type="dxa"/>
          </w:tcPr>
          <w:p w:rsidR="00C13C52" w:rsidRPr="00FB1248" w:rsidRDefault="00C13C52" w:rsidP="00A225F3">
            <w:pPr>
              <w:pStyle w:val="Lgendestandard"/>
              <w:rPr>
                <w:szCs w:val="24"/>
              </w:rPr>
            </w:pPr>
            <w:r w:rsidRPr="00FB1248">
              <w:rPr>
                <w:b/>
                <w:szCs w:val="24"/>
              </w:rPr>
              <w:t>Änderungsanträge des Parlaments in Spaltenform</w:t>
            </w:r>
          </w:p>
          <w:p w:rsidR="00C13C52" w:rsidRPr="00FB1248" w:rsidRDefault="00C13C52" w:rsidP="00A225F3">
            <w:pPr>
              <w:pStyle w:val="Lgendestandard"/>
              <w:rPr>
                <w:szCs w:val="24"/>
              </w:rPr>
            </w:pPr>
          </w:p>
          <w:p w:rsidR="00C13C52" w:rsidRPr="00FB1248" w:rsidRDefault="00C13C52" w:rsidP="00A225F3">
            <w:pPr>
              <w:pStyle w:val="Lgendestandard"/>
              <w:rPr>
                <w:szCs w:val="24"/>
              </w:rPr>
            </w:pPr>
            <w:r w:rsidRPr="00FB1248">
              <w:t xml:space="preserve">Streichungen werden durch </w:t>
            </w:r>
            <w:r w:rsidRPr="00FB1248">
              <w:rPr>
                <w:b/>
                <w:i/>
                <w:szCs w:val="24"/>
              </w:rPr>
              <w:t>Fett- und Kursivdruck</w:t>
            </w:r>
            <w:r w:rsidRPr="00FB1248">
              <w:t xml:space="preserve"> in der linken Spalte gekennzeichnet. Textänderungen werden durch </w:t>
            </w:r>
            <w:r w:rsidRPr="00FB1248">
              <w:rPr>
                <w:b/>
                <w:i/>
                <w:szCs w:val="24"/>
              </w:rPr>
              <w:t>Fett- und Kursivdruck</w:t>
            </w:r>
            <w:r w:rsidRPr="00FB1248">
              <w:t xml:space="preserve"> in beiden Spalten gekennzeichnet. Neuer Text wird durch </w:t>
            </w:r>
            <w:r w:rsidRPr="00FB1248">
              <w:rPr>
                <w:b/>
                <w:i/>
                <w:szCs w:val="24"/>
              </w:rPr>
              <w:t>Fett- und Kursivdruck</w:t>
            </w:r>
            <w:r w:rsidRPr="00FB1248">
              <w:t xml:space="preserve"> in der rechten Spalte gekennzeichnet.</w:t>
            </w:r>
          </w:p>
          <w:p w:rsidR="00C13C52" w:rsidRPr="00FB1248" w:rsidRDefault="00C13C52" w:rsidP="00A225F3">
            <w:pPr>
              <w:pStyle w:val="Lgendestandard"/>
              <w:rPr>
                <w:szCs w:val="24"/>
              </w:rPr>
            </w:pPr>
          </w:p>
          <w:p w:rsidR="00C13C52" w:rsidRPr="00FB1248" w:rsidRDefault="00C13C52" w:rsidP="00A225F3">
            <w:pPr>
              <w:pStyle w:val="Lgendestandard"/>
              <w:rPr>
                <w:szCs w:val="24"/>
              </w:rPr>
            </w:pPr>
            <w:r w:rsidRPr="00FB1248">
              <w:t>Aus der ersten und der zweiten Zeile des Kopftextes zu jedem der Änderungsanträge ist der betroffene Abschnitt des zu prüfenden Entwurfs eines Rechtsakts ersichtlich. Wenn sich ein Änderungsantrag auf einen bestehenden Rechtsakt bezieht, der durch den Entwurf eines Rechtsakts geändert werden soll, umfasst der Kopftext auch eine dritte und eine vierte Zeile, in der der bestehende Rechtsakt bzw. die von der Änderung betroffene Bestimmung des bestehenden Rechtsakts angegeben werden.</w:t>
            </w:r>
          </w:p>
          <w:p w:rsidR="00C13C52" w:rsidRPr="00FB1248" w:rsidRDefault="00C13C52" w:rsidP="00A225F3">
            <w:pPr>
              <w:pStyle w:val="Lgendestandard"/>
              <w:rPr>
                <w:szCs w:val="24"/>
              </w:rPr>
            </w:pPr>
          </w:p>
          <w:p w:rsidR="00C13C52" w:rsidRPr="00FB1248" w:rsidRDefault="00C13C52" w:rsidP="00A225F3">
            <w:pPr>
              <w:pStyle w:val="Lgendestandard"/>
              <w:rPr>
                <w:b/>
                <w:szCs w:val="24"/>
              </w:rPr>
            </w:pPr>
            <w:r w:rsidRPr="00FB1248">
              <w:rPr>
                <w:b/>
                <w:szCs w:val="24"/>
              </w:rPr>
              <w:t>Änderungsanträge des Parlaments in Form eines konsolidierten Textes</w:t>
            </w:r>
          </w:p>
          <w:p w:rsidR="00C13C52" w:rsidRPr="00FB1248" w:rsidRDefault="00C13C52" w:rsidP="00A225F3">
            <w:pPr>
              <w:pStyle w:val="Lgendestandard"/>
              <w:rPr>
                <w:szCs w:val="24"/>
              </w:rPr>
            </w:pPr>
          </w:p>
          <w:p w:rsidR="00C13C52" w:rsidRPr="00FB1248" w:rsidRDefault="00C13C52" w:rsidP="00A225F3">
            <w:pPr>
              <w:pStyle w:val="Lgendestandard"/>
              <w:rPr>
                <w:szCs w:val="24"/>
              </w:rPr>
            </w:pPr>
            <w:r w:rsidRPr="00FB1248">
              <w:t xml:space="preserve">Neue Textteile sind durch </w:t>
            </w:r>
            <w:r w:rsidRPr="00FB1248">
              <w:rPr>
                <w:b/>
                <w:i/>
                <w:szCs w:val="24"/>
              </w:rPr>
              <w:t>Fett- und Kursivdruck</w:t>
            </w:r>
            <w:r w:rsidRPr="00FB1248">
              <w:t xml:space="preserve"> gekennzeichnet. Auf Textteile, die entfallen, wird mit dem Symbol ▌hingewiesen oder diese Textteile erscheinen durchgestrichen. Textänderungen werden gekennzeichnet, indem der neue Text in </w:t>
            </w:r>
            <w:r w:rsidRPr="00FB1248">
              <w:rPr>
                <w:b/>
                <w:i/>
                <w:szCs w:val="24"/>
              </w:rPr>
              <w:t>Fett- und Kursivdruck</w:t>
            </w:r>
            <w:r w:rsidRPr="00FB1248">
              <w:t xml:space="preserve"> steht und der bisherige Text gelöscht oder durchgestrichen wird.</w:t>
            </w:r>
          </w:p>
          <w:p w:rsidR="00C13C52" w:rsidRPr="00FB1248" w:rsidRDefault="00C13C52" w:rsidP="00A225F3">
            <w:pPr>
              <w:pStyle w:val="Lgendestandard"/>
            </w:pPr>
            <w:r w:rsidRPr="00FB1248">
              <w:t>Rein technische Änderungen, die von den Dienststellen im Hinblick auf die Erstellung des endgültigen Textes vorgenommen werden, werden allerdings nicht gekennzeichnet.</w:t>
            </w:r>
          </w:p>
          <w:p w:rsidR="00C13C52" w:rsidRPr="00FB1248" w:rsidRDefault="00C13C52" w:rsidP="0069092A">
            <w:pPr>
              <w:pStyle w:val="Lgendestandard"/>
            </w:pPr>
          </w:p>
        </w:tc>
      </w:tr>
    </w:tbl>
    <w:p w:rsidR="00C13C52" w:rsidRPr="00FB1248" w:rsidRDefault="00C13C52" w:rsidP="00894923"/>
    <w:p w:rsidR="00ED0821" w:rsidRPr="00FB1248" w:rsidRDefault="00ED0821" w:rsidP="004864FF">
      <w:pPr>
        <w:widowControl/>
        <w:tabs>
          <w:tab w:val="center" w:pos="4677"/>
        </w:tabs>
      </w:pPr>
    </w:p>
    <w:p w:rsidR="00ED0821" w:rsidRPr="00FB1248" w:rsidRDefault="00ED0821">
      <w:pPr>
        <w:pStyle w:val="TOCHeading"/>
      </w:pPr>
      <w:r w:rsidRPr="00FB1248">
        <w:br w:type="page"/>
      </w:r>
      <w:r w:rsidRPr="00FB1248">
        <w:lastRenderedPageBreak/>
        <w:t>INHALT</w:t>
      </w:r>
    </w:p>
    <w:p w:rsidR="00ED0821" w:rsidRPr="00FB1248" w:rsidRDefault="00F1046C">
      <w:pPr>
        <w:pStyle w:val="TOCPage"/>
      </w:pPr>
      <w:r w:rsidRPr="00FB1248">
        <w:t>Seite</w:t>
      </w:r>
    </w:p>
    <w:p w:rsidR="00FB1248" w:rsidRDefault="00AF45FF">
      <w:pPr>
        <w:pStyle w:val="TOC1"/>
        <w:tabs>
          <w:tab w:val="right" w:leader="dot" w:pos="9060"/>
        </w:tabs>
        <w:rPr>
          <w:rFonts w:asciiTheme="minorHAnsi" w:eastAsiaTheme="minorEastAsia" w:hAnsiTheme="minorHAnsi" w:cstheme="minorBidi"/>
          <w:noProof/>
          <w:sz w:val="22"/>
          <w:szCs w:val="22"/>
          <w:lang w:val="en-GB"/>
        </w:rPr>
      </w:pPr>
      <w:r w:rsidRPr="00FB1248">
        <w:rPr>
          <w:b/>
        </w:rPr>
        <w:fldChar w:fldCharType="begin"/>
      </w:r>
      <w:r w:rsidRPr="00FB1248">
        <w:rPr>
          <w:b/>
        </w:rPr>
        <w:instrText xml:space="preserve"> TOC \t "PageHeading</w:instrText>
      </w:r>
      <w:r w:rsidR="005404FC" w:rsidRPr="00FB1248">
        <w:rPr>
          <w:b/>
        </w:rPr>
        <w:instrText>;</w:instrText>
      </w:r>
      <w:r w:rsidRPr="00FB1248">
        <w:rPr>
          <w:b/>
        </w:rPr>
        <w:instrText xml:space="preserve">1" </w:instrText>
      </w:r>
      <w:r w:rsidRPr="00FB1248">
        <w:rPr>
          <w:b/>
        </w:rPr>
        <w:fldChar w:fldCharType="separate"/>
      </w:r>
      <w:r w:rsidR="00FB1248">
        <w:rPr>
          <w:noProof/>
        </w:rPr>
        <w:t>ENTWURF EINER LEGISLATIVEN ENTSCHLIESSUNG DES EUROPÄISCHEN PARLAMENTS</w:t>
      </w:r>
      <w:r w:rsidR="00FB1248">
        <w:rPr>
          <w:noProof/>
        </w:rPr>
        <w:tab/>
      </w:r>
      <w:r w:rsidR="00FB1248">
        <w:rPr>
          <w:noProof/>
        </w:rPr>
        <w:fldChar w:fldCharType="begin"/>
      </w:r>
      <w:r w:rsidR="00FB1248">
        <w:rPr>
          <w:noProof/>
        </w:rPr>
        <w:instrText xml:space="preserve"> PAGEREF _Toc60826265 \h </w:instrText>
      </w:r>
      <w:r w:rsidR="00FB1248">
        <w:rPr>
          <w:noProof/>
        </w:rPr>
      </w:r>
      <w:r w:rsidR="00FB1248">
        <w:rPr>
          <w:noProof/>
        </w:rPr>
        <w:fldChar w:fldCharType="separate"/>
      </w:r>
      <w:r w:rsidR="00FB1248">
        <w:rPr>
          <w:noProof/>
        </w:rPr>
        <w:t>5</w:t>
      </w:r>
      <w:r w:rsidR="00FB1248">
        <w:rPr>
          <w:noProof/>
        </w:rPr>
        <w:fldChar w:fldCharType="end"/>
      </w:r>
    </w:p>
    <w:p w:rsidR="00FB1248" w:rsidRDefault="00FB1248">
      <w:pPr>
        <w:pStyle w:val="TOC1"/>
        <w:tabs>
          <w:tab w:val="right" w:leader="dot" w:pos="9060"/>
        </w:tabs>
        <w:rPr>
          <w:rFonts w:asciiTheme="minorHAnsi" w:eastAsiaTheme="minorEastAsia" w:hAnsiTheme="minorHAnsi" w:cstheme="minorBidi"/>
          <w:noProof/>
          <w:sz w:val="22"/>
          <w:szCs w:val="22"/>
          <w:lang w:val="en-GB"/>
        </w:rPr>
      </w:pPr>
      <w:r>
        <w:rPr>
          <w:noProof/>
        </w:rPr>
        <w:t>BEGRÜNDUNG</w:t>
      </w:r>
      <w:r>
        <w:rPr>
          <w:noProof/>
        </w:rPr>
        <w:tab/>
      </w:r>
      <w:r>
        <w:rPr>
          <w:noProof/>
        </w:rPr>
        <w:fldChar w:fldCharType="begin"/>
      </w:r>
      <w:r>
        <w:rPr>
          <w:noProof/>
        </w:rPr>
        <w:instrText xml:space="preserve"> PAGEREF _Toc60826266 \h </w:instrText>
      </w:r>
      <w:r>
        <w:rPr>
          <w:noProof/>
        </w:rPr>
      </w:r>
      <w:r>
        <w:rPr>
          <w:noProof/>
        </w:rPr>
        <w:fldChar w:fldCharType="separate"/>
      </w:r>
      <w:r>
        <w:rPr>
          <w:noProof/>
        </w:rPr>
        <w:t>6</w:t>
      </w:r>
      <w:r>
        <w:rPr>
          <w:noProof/>
        </w:rPr>
        <w:fldChar w:fldCharType="end"/>
      </w:r>
    </w:p>
    <w:p w:rsidR="00FB1248" w:rsidRDefault="00FB1248">
      <w:pPr>
        <w:pStyle w:val="TOC1"/>
        <w:tabs>
          <w:tab w:val="right" w:leader="dot" w:pos="9060"/>
        </w:tabs>
        <w:rPr>
          <w:rFonts w:asciiTheme="minorHAnsi" w:eastAsiaTheme="minorEastAsia" w:hAnsiTheme="minorHAnsi" w:cstheme="minorBidi"/>
          <w:noProof/>
          <w:sz w:val="22"/>
          <w:szCs w:val="22"/>
          <w:lang w:val="en-GB"/>
        </w:rPr>
      </w:pPr>
      <w:r>
        <w:rPr>
          <w:noProof/>
        </w:rPr>
        <w:t>VERFAHREN DES FEDERFÜHRENDEN AUSSCHUSSES</w:t>
      </w:r>
      <w:r>
        <w:rPr>
          <w:noProof/>
        </w:rPr>
        <w:tab/>
      </w:r>
      <w:r>
        <w:rPr>
          <w:noProof/>
        </w:rPr>
        <w:fldChar w:fldCharType="begin"/>
      </w:r>
      <w:r>
        <w:rPr>
          <w:noProof/>
        </w:rPr>
        <w:instrText xml:space="preserve"> PAGEREF _Toc60826267 \h </w:instrText>
      </w:r>
      <w:r>
        <w:rPr>
          <w:noProof/>
        </w:rPr>
      </w:r>
      <w:r>
        <w:rPr>
          <w:noProof/>
        </w:rPr>
        <w:fldChar w:fldCharType="separate"/>
      </w:r>
      <w:r>
        <w:rPr>
          <w:noProof/>
        </w:rPr>
        <w:t>7</w:t>
      </w:r>
      <w:r>
        <w:rPr>
          <w:noProof/>
        </w:rPr>
        <w:fldChar w:fldCharType="end"/>
      </w:r>
    </w:p>
    <w:p w:rsidR="00FB1248" w:rsidRDefault="00FB1248">
      <w:pPr>
        <w:pStyle w:val="TOC1"/>
        <w:tabs>
          <w:tab w:val="right" w:leader="dot" w:pos="9060"/>
        </w:tabs>
        <w:rPr>
          <w:rFonts w:asciiTheme="minorHAnsi" w:eastAsiaTheme="minorEastAsia" w:hAnsiTheme="minorHAnsi" w:cstheme="minorBidi"/>
          <w:noProof/>
          <w:sz w:val="22"/>
          <w:szCs w:val="22"/>
          <w:lang w:val="en-GB"/>
        </w:rPr>
      </w:pPr>
      <w:r>
        <w:rPr>
          <w:noProof/>
        </w:rPr>
        <w:t>NAMENTLICHE SCHLUSSABSTIMMUNG IM FEDERFÜHRENDEN AUSSCHUSS</w:t>
      </w:r>
      <w:r>
        <w:rPr>
          <w:noProof/>
        </w:rPr>
        <w:tab/>
      </w:r>
      <w:r>
        <w:rPr>
          <w:noProof/>
        </w:rPr>
        <w:fldChar w:fldCharType="begin"/>
      </w:r>
      <w:r>
        <w:rPr>
          <w:noProof/>
        </w:rPr>
        <w:instrText xml:space="preserve"> PAGEREF _Toc60826268 \h </w:instrText>
      </w:r>
      <w:r>
        <w:rPr>
          <w:noProof/>
        </w:rPr>
      </w:r>
      <w:r>
        <w:rPr>
          <w:noProof/>
        </w:rPr>
        <w:fldChar w:fldCharType="separate"/>
      </w:r>
      <w:r>
        <w:rPr>
          <w:noProof/>
        </w:rPr>
        <w:t>8</w:t>
      </w:r>
      <w:r>
        <w:rPr>
          <w:noProof/>
        </w:rPr>
        <w:fldChar w:fldCharType="end"/>
      </w:r>
    </w:p>
    <w:p w:rsidR="00ED0821" w:rsidRPr="00FB1248" w:rsidRDefault="00AF45FF" w:rsidP="001A06D8">
      <w:r w:rsidRPr="00FB1248">
        <w:rPr>
          <w:b/>
        </w:rPr>
        <w:fldChar w:fldCharType="end"/>
      </w:r>
    </w:p>
    <w:p w:rsidR="00ED0821" w:rsidRPr="00FB1248" w:rsidRDefault="00ED0821">
      <w:pPr>
        <w:pStyle w:val="PageHeading"/>
      </w:pPr>
      <w:r w:rsidRPr="00FB1248">
        <w:br w:type="page"/>
      </w:r>
      <w:r w:rsidRPr="00FB1248">
        <w:lastRenderedPageBreak/>
        <w:br w:type="page"/>
      </w:r>
      <w:bookmarkStart w:id="1" w:name="_Toc60826265"/>
      <w:r w:rsidRPr="00FB1248">
        <w:lastRenderedPageBreak/>
        <w:t>ENTWURF EINER LEGISLATIVEN ENTSCHLIESSUNG DES EUROPÄISCHEN PARLAMENTS</w:t>
      </w:r>
      <w:bookmarkEnd w:id="1"/>
    </w:p>
    <w:p w:rsidR="00DB4291" w:rsidRPr="00FB1248" w:rsidRDefault="00DB4291" w:rsidP="00DB4291">
      <w:pPr>
        <w:pStyle w:val="NormalBold"/>
      </w:pPr>
      <w:r w:rsidRPr="00FB1248">
        <w:t>zu dem Vorschlag für eine Richtlinie des Europäischen Parlaments und des Rates zur Festlegung einheitlicher Regeln für die Bestellung von Vertretern zu Zwecken der Beweiserhebung in Strafverfahren</w:t>
      </w:r>
    </w:p>
    <w:p w:rsidR="00ED0821" w:rsidRPr="00FB1248" w:rsidRDefault="00F1046C">
      <w:pPr>
        <w:pStyle w:val="NormalBold12a"/>
      </w:pPr>
      <w:r w:rsidRPr="00FB1248">
        <w:t>(COM(2018)0226 – C8-0154/2018 – 2018/0107(COD))</w:t>
      </w:r>
    </w:p>
    <w:p w:rsidR="00ED0821" w:rsidRPr="00FB1248" w:rsidRDefault="00F1046C" w:rsidP="00ED04C2">
      <w:pPr>
        <w:pStyle w:val="NormalBold"/>
      </w:pPr>
      <w:r w:rsidRPr="00FB1248">
        <w:t>(Ordentliches Gesetzgebungsverfahren: erste Lesung)</w:t>
      </w:r>
    </w:p>
    <w:p w:rsidR="00ED0821" w:rsidRPr="00FB1248" w:rsidRDefault="00F1046C">
      <w:pPr>
        <w:pStyle w:val="EPComma"/>
      </w:pPr>
      <w:r w:rsidRPr="00FB1248">
        <w:rPr>
          <w:i/>
        </w:rPr>
        <w:t>Das Europäische Parlament</w:t>
      </w:r>
      <w:r w:rsidRPr="00FB1248">
        <w:t>,</w:t>
      </w:r>
    </w:p>
    <w:p w:rsidR="00DB4291" w:rsidRPr="00FB1248" w:rsidRDefault="00DB4291" w:rsidP="00DB4291">
      <w:pPr>
        <w:pStyle w:val="NormalHanging12a"/>
      </w:pPr>
      <w:r w:rsidRPr="00FB1248">
        <w:t>–</w:t>
      </w:r>
      <w:r w:rsidRPr="00FB1248">
        <w:tab/>
        <w:t>unter Hinweis auf den Vorschlag der Kommission an das Europäische Parlament und den Rat (COM(2018)0226),</w:t>
      </w:r>
    </w:p>
    <w:p w:rsidR="00DB4291" w:rsidRPr="00FB1248" w:rsidRDefault="00DB4291" w:rsidP="00DB4291">
      <w:pPr>
        <w:pStyle w:val="NormalHanging12a"/>
      </w:pPr>
      <w:r w:rsidRPr="00FB1248">
        <w:t>–</w:t>
      </w:r>
      <w:r w:rsidRPr="00FB1248">
        <w:tab/>
        <w:t>gestützt auf Artikel 294 Absatz 2 und die Artikel 53 und 62 des Vertrags über die Arbeitsweise der Europäischen Union, auf deren Grundlage ihm der Vorschlag der Kommission unterbreitet wurde (C8-0154/2018),</w:t>
      </w:r>
    </w:p>
    <w:p w:rsidR="00DB4291" w:rsidRPr="00FB1248" w:rsidRDefault="00DB4291" w:rsidP="00DB4291">
      <w:pPr>
        <w:pStyle w:val="NormalHanging12a"/>
      </w:pPr>
      <w:r w:rsidRPr="00FB1248">
        <w:t>–</w:t>
      </w:r>
      <w:r w:rsidRPr="00FB1248">
        <w:tab/>
        <w:t>gestützt auf Artikel 294 Absatz 3 des Vertrags über die Arbeitsweise der Europäischen Union,</w:t>
      </w:r>
    </w:p>
    <w:p w:rsidR="00DB4291" w:rsidRPr="00FB1248" w:rsidRDefault="00DB4291" w:rsidP="00DB4291">
      <w:pPr>
        <w:pStyle w:val="NormalHanging12a"/>
      </w:pPr>
      <w:r w:rsidRPr="00FB1248">
        <w:t>–</w:t>
      </w:r>
      <w:r w:rsidRPr="00FB1248">
        <w:tab/>
        <w:t>gestützt auf Artikel 59 seiner Geschäftsordnung,</w:t>
      </w:r>
    </w:p>
    <w:p w:rsidR="00DB4291" w:rsidRPr="00FB1248" w:rsidRDefault="00DB4291" w:rsidP="00DB4291">
      <w:pPr>
        <w:pStyle w:val="NormalHanging12a"/>
      </w:pPr>
      <w:r w:rsidRPr="00FB1248">
        <w:t>–</w:t>
      </w:r>
      <w:r w:rsidRPr="00FB1248">
        <w:tab/>
        <w:t>unter Hinweis auf den Bericht des Ausschusses für bürgerliche Freiheiten, Justiz und Inneres (A9-0257/2020),</w:t>
      </w:r>
    </w:p>
    <w:p w:rsidR="00DB4291" w:rsidRPr="00FB1248" w:rsidRDefault="00DB4291" w:rsidP="00DB4291">
      <w:pPr>
        <w:pStyle w:val="NormalHanging12a"/>
      </w:pPr>
      <w:r w:rsidRPr="00FB1248">
        <w:t>1.</w:t>
      </w:r>
      <w:r w:rsidRPr="00FB1248">
        <w:tab/>
        <w:t>lehnt den Vorschlag der Kommission ab;</w:t>
      </w:r>
    </w:p>
    <w:p w:rsidR="00DB4291" w:rsidRPr="00FB1248" w:rsidRDefault="00DB4291" w:rsidP="00DB4291">
      <w:pPr>
        <w:pStyle w:val="NormalHanging12a"/>
      </w:pPr>
      <w:r w:rsidRPr="00FB1248">
        <w:t>2.</w:t>
      </w:r>
      <w:r w:rsidRPr="00FB1248">
        <w:tab/>
        <w:t>fordert die Kommission auf, ihren Vorschlag zurückzuziehen;</w:t>
      </w:r>
    </w:p>
    <w:p w:rsidR="00DB4291" w:rsidRPr="00FB1248" w:rsidRDefault="00DB4291" w:rsidP="00DB4291">
      <w:pPr>
        <w:pStyle w:val="NormalHanging12a"/>
      </w:pPr>
      <w:r w:rsidRPr="00FB1248">
        <w:t>3.</w:t>
      </w:r>
      <w:r w:rsidRPr="00FB1248">
        <w:tab/>
        <w:t>beauftragt seinen Präsidenten, den Standpunkt des Parlaments dem Rat und der Kommission sowie den nationalen Parlamenten zu übermitteln.</w:t>
      </w:r>
    </w:p>
    <w:p w:rsidR="00C13C52" w:rsidRPr="00FB1248" w:rsidRDefault="00C13C52" w:rsidP="00C13C52">
      <w:pPr>
        <w:pStyle w:val="NormalHanging12a"/>
      </w:pPr>
    </w:p>
    <w:p w:rsidR="00C13C52" w:rsidRPr="00FB1248" w:rsidRDefault="00C13C52">
      <w:pPr>
        <w:widowControl/>
      </w:pPr>
      <w:r w:rsidRPr="00FB1248">
        <w:br w:type="page"/>
      </w:r>
    </w:p>
    <w:p w:rsidR="00C13C52" w:rsidRPr="00FB1248" w:rsidRDefault="00C13C52" w:rsidP="00C13C52">
      <w:pPr>
        <w:pStyle w:val="PageHeading"/>
      </w:pPr>
      <w:bookmarkStart w:id="2" w:name="_Toc23169636"/>
      <w:bookmarkStart w:id="3" w:name="_Toc60826266"/>
      <w:r w:rsidRPr="00FB1248">
        <w:lastRenderedPageBreak/>
        <w:t>BEGRÜNDUNG</w:t>
      </w:r>
      <w:bookmarkEnd w:id="2"/>
      <w:bookmarkEnd w:id="3"/>
    </w:p>
    <w:p w:rsidR="00DB4291" w:rsidRPr="00FB1248" w:rsidRDefault="00DB4291" w:rsidP="00DB4291">
      <w:r w:rsidRPr="00FB1248">
        <w:t xml:space="preserve">Die Kommission hat zwei Instrumente vorgeschlagen: die Verordnung über Europäische Herausgabeanordnungen und Sicherungsanordnungen für elektronische Beweismittel in Strafsachen (2018/0108(COD)) und die Richtlinie zur Festlegung einheitlicher Regeln für die Bestellung von Vertretern zu Zwecken der Beweiserhebung in Strafverfahren (2018/0107(COD)). </w:t>
      </w:r>
    </w:p>
    <w:p w:rsidR="00DB4291" w:rsidRPr="00FB1248" w:rsidRDefault="00DB4291" w:rsidP="00DB4291"/>
    <w:p w:rsidR="00DB4291" w:rsidRPr="00FB1248" w:rsidRDefault="00DB4291" w:rsidP="00DB4291">
      <w:r w:rsidRPr="00FB1248">
        <w:t xml:space="preserve">Es besteht jedoch eine Diskrepanz zwischen diesen beiden Instrumenten. Durch die vorgeschlagene Richtlinie wären alle EU-Mitgliedstaaten – auch diejenigen, die sich nicht an den Rechtsinstrumenten nach Titel V Kapitel 4 des Vertrags über die Arbeitsweise der Europäischen Union beteiligen – verpflichtet, einen Vertreter zu bestellen. Zudem zielt der Vorschlag der Kommission offenbar darauf ab, einen solchen Vertreter nicht nur für die Zwecke der vorgeschlagenen Verordnung einzuführen, sondern ihn auch für weitere künftige Instrumente zu nutzen. Aus diesem Grund schießt die vorgeschlagene Richtlinie über ihr Ziel hinaus und wirft schwerwiegende Probleme im Zusammenhang mit ihrer Rechtsgrundlage – den Artikeln 53 und 62 AEUV – auf. Folglich sollten nur die Mitgliedstaaten, die sich an der vorgeschlagenen Verordnung beteiligen, zur Bestellung eines Vertreters verpflichtet sein. </w:t>
      </w:r>
    </w:p>
    <w:p w:rsidR="00DB4291" w:rsidRPr="00FB1248" w:rsidRDefault="00DB4291" w:rsidP="00DB4291"/>
    <w:p w:rsidR="00DB4291" w:rsidRPr="00FB1248" w:rsidRDefault="00DB4291" w:rsidP="00DB4291">
      <w:r w:rsidRPr="00FB1248">
        <w:t>Die einschlägigen Inhalte der vorgeschlagenen Richtlinie wurden deshalb als flankierende Maßnahme zu den Instrumenten für die gegenseitige Anerkennung nach Artikel 82 AEUV direkt in die vorgeschlagene Verordnung aufgenommen.</w:t>
      </w:r>
    </w:p>
    <w:p w:rsidR="00DB4291" w:rsidRPr="00FB1248" w:rsidRDefault="00DB4291" w:rsidP="00DB4291">
      <w:r w:rsidRPr="00FB1248">
        <w:br w:type="page"/>
      </w:r>
    </w:p>
    <w:p w:rsidR="005404FC" w:rsidRPr="00FB1248" w:rsidRDefault="005404FC" w:rsidP="005404FC"/>
    <w:p w:rsidR="005404FC" w:rsidRPr="00FB1248" w:rsidRDefault="005404FC" w:rsidP="005404FC">
      <w:pPr>
        <w:pStyle w:val="PageHeading"/>
      </w:pPr>
      <w:bookmarkStart w:id="4" w:name="_Toc60826267"/>
      <w:bookmarkStart w:id="5" w:name="ProcPageRR"/>
      <w:r w:rsidRPr="00FB1248">
        <w:t>VERFAHREN DES FEDERFÜHRENDEN AUSSCHUSSES</w:t>
      </w:r>
      <w:bookmarkEnd w:id="4"/>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Einheitliche Regeln für die Bestellung von Vertretern zu Zwecken der Beweiserhebung in Strafverfahren</w:t>
            </w: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Bezugsdokumente – Verfahrensnummer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COM(2018)0226 – C8-0154/2018 – 2018/0107(COD)</w:t>
            </w: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Datum der Übermittlung an das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17.4.2018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Federführender Ausschuss</w:t>
            </w:r>
          </w:p>
          <w:p w:rsidR="005404FC" w:rsidRPr="00FB1248" w:rsidRDefault="00FB1248">
            <w:pPr>
              <w:autoSpaceDE w:val="0"/>
              <w:autoSpaceDN w:val="0"/>
              <w:adjustRightInd w:val="0"/>
              <w:rPr>
                <w:color w:val="000000"/>
                <w:sz w:val="20"/>
              </w:rPr>
            </w:pPr>
            <w:r w:rsidRPr="00FB1248">
              <w:rPr>
                <w:color w:val="000000"/>
                <w:sz w:val="20"/>
              </w:rPr>
              <w:t xml:space="preserve"> </w:t>
            </w:r>
            <w:r w:rsidR="005404FC" w:rsidRPr="00FB1248">
              <w:rPr>
                <w:color w:val="000000"/>
                <w:sz w:val="20"/>
              </w:rPr>
              <w:t>Datum der Bekanntgabe im Plenum</w:t>
            </w:r>
          </w:p>
        </w:tc>
        <w:tc>
          <w:tcPr>
            <w:tcW w:w="1530"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LIBE</w:t>
            </w:r>
          </w:p>
          <w:p w:rsidR="005404FC" w:rsidRPr="00FB1248" w:rsidRDefault="005404FC">
            <w:pPr>
              <w:autoSpaceDE w:val="0"/>
              <w:autoSpaceDN w:val="0"/>
              <w:adjustRightInd w:val="0"/>
              <w:rPr>
                <w:color w:val="000000"/>
                <w:sz w:val="20"/>
              </w:rPr>
            </w:pPr>
            <w:r w:rsidRPr="00FB1248">
              <w:rPr>
                <w:color w:val="000000"/>
                <w:sz w:val="20"/>
              </w:rPr>
              <w:t>31.5.2018</w:t>
            </w: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Mitberatende Ausschüsse</w:t>
            </w:r>
          </w:p>
          <w:p w:rsidR="005404FC" w:rsidRPr="00FB1248" w:rsidRDefault="00FB1248">
            <w:pPr>
              <w:autoSpaceDE w:val="0"/>
              <w:autoSpaceDN w:val="0"/>
              <w:adjustRightInd w:val="0"/>
              <w:rPr>
                <w:color w:val="000000"/>
                <w:sz w:val="20"/>
              </w:rPr>
            </w:pPr>
            <w:r w:rsidRPr="00FB1248">
              <w:rPr>
                <w:color w:val="000000"/>
                <w:sz w:val="20"/>
              </w:rPr>
              <w:t xml:space="preserve"> </w:t>
            </w:r>
            <w:r w:rsidR="005404FC" w:rsidRPr="00FB1248">
              <w:rPr>
                <w:color w:val="000000"/>
                <w:sz w:val="20"/>
              </w:rPr>
              <w:t>Datum der Bekanntgabe im Plenum</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IMCO</w:t>
            </w:r>
          </w:p>
          <w:p w:rsidR="005404FC" w:rsidRPr="00FB1248" w:rsidRDefault="005404FC">
            <w:pPr>
              <w:autoSpaceDE w:val="0"/>
              <w:autoSpaceDN w:val="0"/>
              <w:adjustRightInd w:val="0"/>
              <w:rPr>
                <w:color w:val="000000"/>
                <w:sz w:val="20"/>
              </w:rPr>
            </w:pPr>
            <w:r w:rsidRPr="00FB1248">
              <w:rPr>
                <w:color w:val="000000"/>
                <w:sz w:val="20"/>
              </w:rPr>
              <w:t>31.5.2018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Nicht abgegebene Stellungnahme(n)</w:t>
            </w:r>
          </w:p>
          <w:p w:rsidR="005404FC" w:rsidRPr="00FB1248" w:rsidRDefault="00FB1248">
            <w:pPr>
              <w:autoSpaceDE w:val="0"/>
              <w:autoSpaceDN w:val="0"/>
              <w:adjustRightInd w:val="0"/>
              <w:rPr>
                <w:color w:val="000000"/>
                <w:sz w:val="20"/>
              </w:rPr>
            </w:pPr>
            <w:r w:rsidRPr="00FB1248">
              <w:rPr>
                <w:color w:val="000000"/>
                <w:sz w:val="20"/>
              </w:rPr>
              <w:t xml:space="preserve"> </w:t>
            </w:r>
            <w:r w:rsidR="005404FC" w:rsidRPr="00FB1248">
              <w:rPr>
                <w:color w:val="000000"/>
                <w:sz w:val="20"/>
              </w:rPr>
              <w:t>Datum des Beschlusses</w:t>
            </w:r>
          </w:p>
        </w:tc>
        <w:tc>
          <w:tcPr>
            <w:tcW w:w="1530"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IMCO</w:t>
            </w:r>
          </w:p>
          <w:p w:rsidR="005404FC" w:rsidRPr="00FB1248" w:rsidRDefault="005404FC">
            <w:pPr>
              <w:autoSpaceDE w:val="0"/>
              <w:autoSpaceDN w:val="0"/>
              <w:adjustRightInd w:val="0"/>
              <w:rPr>
                <w:color w:val="000000"/>
                <w:sz w:val="20"/>
              </w:rPr>
            </w:pPr>
            <w:r w:rsidRPr="00FB1248">
              <w:rPr>
                <w:color w:val="000000"/>
                <w:sz w:val="20"/>
              </w:rPr>
              <w:t>16.5.2018</w:t>
            </w: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Berichterstatterin</w:t>
            </w:r>
          </w:p>
          <w:p w:rsidR="005404FC" w:rsidRPr="00FB1248" w:rsidRDefault="00FB1248">
            <w:pPr>
              <w:autoSpaceDE w:val="0"/>
              <w:autoSpaceDN w:val="0"/>
              <w:adjustRightInd w:val="0"/>
              <w:rPr>
                <w:color w:val="000000"/>
                <w:sz w:val="20"/>
              </w:rPr>
            </w:pPr>
            <w:r w:rsidRPr="00FB1248">
              <w:rPr>
                <w:color w:val="000000"/>
                <w:sz w:val="20"/>
              </w:rPr>
              <w:t xml:space="preserve"> </w:t>
            </w:r>
            <w:r w:rsidR="005404FC" w:rsidRPr="00FB1248">
              <w:rPr>
                <w:color w:val="000000"/>
                <w:sz w:val="20"/>
              </w:rPr>
              <w:t>Datum der Benennung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Birgit Sippel</w:t>
            </w:r>
          </w:p>
          <w:p w:rsidR="005404FC" w:rsidRPr="00FB1248" w:rsidRDefault="005404FC">
            <w:pPr>
              <w:autoSpaceDE w:val="0"/>
              <w:autoSpaceDN w:val="0"/>
              <w:adjustRightInd w:val="0"/>
              <w:rPr>
                <w:color w:val="000000"/>
                <w:sz w:val="20"/>
              </w:rPr>
            </w:pPr>
            <w:r w:rsidRPr="00FB1248">
              <w:rPr>
                <w:color w:val="000000"/>
                <w:sz w:val="20"/>
              </w:rPr>
              <w:t>4.9.2019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Prüfung im Ausschuss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11.11.2019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28.1.2020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7.12.2020</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Datum der Annahme</w:t>
            </w:r>
          </w:p>
        </w:tc>
        <w:tc>
          <w:tcPr>
            <w:tcW w:w="1530"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7.12.2020</w:t>
            </w: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rFonts w:ascii="sans-serif" w:hAnsi="sans-serif" w:cs="sans-serif"/>
                <w:color w:val="000000"/>
                <w:szCs w:val="24"/>
              </w:rPr>
            </w:pP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w:t>
            </w:r>
          </w:p>
          <w:p w:rsidR="005404FC" w:rsidRPr="00FB1248" w:rsidRDefault="005404FC">
            <w:pPr>
              <w:autoSpaceDE w:val="0"/>
              <w:autoSpaceDN w:val="0"/>
              <w:adjustRightInd w:val="0"/>
              <w:rPr>
                <w:color w:val="000000"/>
                <w:sz w:val="20"/>
              </w:rPr>
            </w:pPr>
            <w:r w:rsidRPr="00FB1248">
              <w:rPr>
                <w:color w:val="000000"/>
                <w:sz w:val="20"/>
              </w:rPr>
              <w:t>–:</w:t>
            </w:r>
          </w:p>
          <w:p w:rsidR="005404FC" w:rsidRPr="00FB1248" w:rsidRDefault="005404FC">
            <w:pPr>
              <w:autoSpaceDE w:val="0"/>
              <w:autoSpaceDN w:val="0"/>
              <w:adjustRightInd w:val="0"/>
              <w:rPr>
                <w:color w:val="000000"/>
                <w:sz w:val="20"/>
              </w:rPr>
            </w:pPr>
            <w:r w:rsidRPr="00FB1248">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54</w:t>
            </w:r>
          </w:p>
          <w:p w:rsidR="005404FC" w:rsidRPr="00FB1248" w:rsidRDefault="005404FC">
            <w:pPr>
              <w:autoSpaceDE w:val="0"/>
              <w:autoSpaceDN w:val="0"/>
              <w:adjustRightInd w:val="0"/>
              <w:rPr>
                <w:color w:val="000000"/>
                <w:sz w:val="20"/>
              </w:rPr>
            </w:pPr>
            <w:r w:rsidRPr="00FB1248">
              <w:rPr>
                <w:color w:val="000000"/>
                <w:sz w:val="20"/>
              </w:rPr>
              <w:t>3</w:t>
            </w:r>
          </w:p>
          <w:p w:rsidR="005404FC" w:rsidRPr="00FB1248" w:rsidRDefault="005404FC">
            <w:pPr>
              <w:autoSpaceDE w:val="0"/>
              <w:autoSpaceDN w:val="0"/>
              <w:adjustRightInd w:val="0"/>
              <w:rPr>
                <w:color w:val="000000"/>
                <w:sz w:val="20"/>
              </w:rPr>
            </w:pPr>
            <w:r w:rsidRPr="00FB1248">
              <w:rPr>
                <w:color w:val="000000"/>
                <w:sz w:val="20"/>
              </w:rPr>
              <w:t>7</w:t>
            </w:r>
          </w:p>
        </w:tc>
      </w:tr>
      <w:tr w:rsidR="005404FC" w:rsidRPr="00FB124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Magdalena Adamowicz, Konstantinos Arvanitis, Malik Azmani, Katarina Barley, Pernando Barrena Arza, Pietro Bartolo, Nicolas Bay, Vladimír Bilčík, Vasile Blaga, Ioan-Rareş Bogdan, Patrick Breyer, Saskia Bricmont, Jorge Buxadé Villalba, Damien Carême, Anna Júlia Donáth, Lena Düpont, Cornelia Ernst, Nicolaus Fest, Jean-Paul Garraud, Maria Grapini, Sylvie Guillaume, Andrzej Halicki, Evin Incir, Sophia in ‘t Veld, Patryk Jaki, Lívia Járóka, Marina Kaljurand, Assita Kanko, Fabienne Keller, Peter Kofod, Łukasz Kohut, Moritz Körner, Alice Kuhnke, Jeroen Lenaers, Juan Fernando López Aguilar, Nuno Melo, Roberta Metsola, Nadine Morano, Javier Moreno Sánchez, Maite Pagazaurtundúa, Nicola Procaccini, Emil Radev, Paulo Rangel, Ralf Seekatz, Michal Šimečka, Birgit Sippel, Martin Sonneborn, Tineke Strik, Ramona Strugariu, Annalisa Tardino, Tomas Tobé, Milan Uhrík, Tom Vandendriessche, Bettina Vollath, Javier Zarzalejos</w:t>
            </w: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Delara Burkhardt, Andor Deli, Leopoldo López Gil, Kostas Papadakis, Anne-Sophie Pelletier, Rob Rooken, Domènec Ruiz Devesa, Hilde Vautmans, Petar Vitanov</w:t>
            </w:r>
          </w:p>
        </w:tc>
      </w:tr>
      <w:tr w:rsidR="005404FC" w:rsidRPr="00FB124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b/>
                <w:bCs/>
                <w:color w:val="000000"/>
                <w:sz w:val="20"/>
              </w:rPr>
            </w:pPr>
            <w:r w:rsidRPr="00FB1248">
              <w:rPr>
                <w:b/>
                <w:bCs/>
                <w:color w:val="000000"/>
                <w:sz w:val="20"/>
              </w:rPr>
              <w:t>Datum der Einreichung</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404FC" w:rsidRPr="00FB1248" w:rsidRDefault="005404FC">
            <w:pPr>
              <w:autoSpaceDE w:val="0"/>
              <w:autoSpaceDN w:val="0"/>
              <w:adjustRightInd w:val="0"/>
              <w:rPr>
                <w:color w:val="000000"/>
                <w:sz w:val="20"/>
              </w:rPr>
            </w:pPr>
            <w:r w:rsidRPr="00FB1248">
              <w:rPr>
                <w:color w:val="000000"/>
                <w:sz w:val="20"/>
              </w:rPr>
              <w:t>11.12.2020</w:t>
            </w:r>
          </w:p>
        </w:tc>
      </w:tr>
    </w:tbl>
    <w:p w:rsidR="005404FC" w:rsidRPr="00FB1248" w:rsidRDefault="005404FC"/>
    <w:bookmarkEnd w:id="5"/>
    <w:p w:rsidR="00DB4291" w:rsidRPr="00FB1248" w:rsidRDefault="00DB4291">
      <w:pPr>
        <w:widowControl/>
      </w:pPr>
      <w:r w:rsidRPr="00FB1248">
        <w:br w:type="page"/>
      </w:r>
    </w:p>
    <w:p w:rsidR="00DB4291" w:rsidRPr="00FB1248" w:rsidRDefault="00DB4291" w:rsidP="00DB4291">
      <w:pPr>
        <w:pStyle w:val="PageHeading"/>
      </w:pPr>
      <w:bookmarkStart w:id="6" w:name="_Toc58583014"/>
      <w:bookmarkStart w:id="7" w:name="_Toc60826268"/>
      <w:bookmarkStart w:id="8" w:name="RollCallPageRR"/>
      <w:r w:rsidRPr="00FB1248">
        <w:t>NAMENTLICHE SCHLUSSABSTIMMUNG IM FEDERFÜHRENDEN AUSSCHUSS</w:t>
      </w:r>
      <w:bookmarkEnd w:id="6"/>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4291" w:rsidRPr="00FB1248" w:rsidTr="00AF32F1">
        <w:trPr>
          <w:cantSplit/>
        </w:trPr>
        <w:tc>
          <w:tcPr>
            <w:tcW w:w="1701" w:type="dxa"/>
            <w:shd w:val="pct10" w:color="000000" w:fill="FFFFFF"/>
            <w:vAlign w:val="center"/>
          </w:tcPr>
          <w:p w:rsidR="00DB4291" w:rsidRPr="00FB1248" w:rsidRDefault="00DB4291" w:rsidP="00AF32F1">
            <w:pPr>
              <w:pStyle w:val="RollCallVotes"/>
            </w:pPr>
            <w:r w:rsidRPr="00FB1248">
              <w:t>54</w:t>
            </w:r>
          </w:p>
        </w:tc>
        <w:tc>
          <w:tcPr>
            <w:tcW w:w="7371" w:type="dxa"/>
            <w:shd w:val="pct10" w:color="000000" w:fill="FFFFFF"/>
          </w:tcPr>
          <w:p w:rsidR="00DB4291" w:rsidRPr="00FB1248" w:rsidRDefault="00DB4291" w:rsidP="00AF32F1">
            <w:pPr>
              <w:pStyle w:val="RollCallSymbols14pt"/>
            </w:pPr>
            <w:r w:rsidRPr="00FB1248">
              <w:t>+</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PPE</w:t>
            </w:r>
          </w:p>
        </w:tc>
        <w:tc>
          <w:tcPr>
            <w:tcW w:w="7371" w:type="dxa"/>
            <w:shd w:val="clear" w:color="auto" w:fill="FFFFFF"/>
          </w:tcPr>
          <w:p w:rsidR="00DB4291" w:rsidRPr="00FB1248" w:rsidRDefault="00DB4291" w:rsidP="00AF32F1">
            <w:pPr>
              <w:pStyle w:val="RollCallTable"/>
            </w:pPr>
            <w:r w:rsidRPr="00FB1248">
              <w:t>Magdalena Adamowicz, Vladimír Bilčík, Vasile Blaga, Ioan-Rareş Bogdan, Andor Deli, Lena Düpont, Andrzej Halicki, Lívia Járóka, Jeroen Lenaers, Leopoldo López Gil, Nuno Melo, Roberta Metsola, Nadine Morano, Emil Radev, Paulo Rangel, Ralf Seekatz, Tomas Tobé, Javier Zarzalejos</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S&amp;D</w:t>
            </w:r>
          </w:p>
        </w:tc>
        <w:tc>
          <w:tcPr>
            <w:tcW w:w="7371" w:type="dxa"/>
            <w:shd w:val="clear" w:color="auto" w:fill="FFFFFF"/>
          </w:tcPr>
          <w:p w:rsidR="00DB4291" w:rsidRPr="00FB1248" w:rsidRDefault="00DB4291" w:rsidP="00AF32F1">
            <w:pPr>
              <w:pStyle w:val="RollCallTable"/>
            </w:pPr>
            <w:r w:rsidRPr="00FB1248">
              <w:t>Katarina Barley, Pietro Bartolo, Delara Burkhardt, Maria Grapini, Sylvie Guillaume, Evin Incir, Marina Kaljurand, Łukasz Kohut, Juan Fernando López Aguilar, Javier Moreno Sánchez, Domènec Ruiz Devesa, Birgit Sippel, Petar Vitanov, Bettina Vollath</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RENEW</w:t>
            </w:r>
          </w:p>
        </w:tc>
        <w:tc>
          <w:tcPr>
            <w:tcW w:w="7371" w:type="dxa"/>
            <w:shd w:val="clear" w:color="auto" w:fill="FFFFFF"/>
          </w:tcPr>
          <w:p w:rsidR="00DB4291" w:rsidRPr="00FB1248" w:rsidRDefault="00DB4291" w:rsidP="00AF32F1">
            <w:pPr>
              <w:pStyle w:val="RollCallTable"/>
            </w:pPr>
            <w:r w:rsidRPr="00FB1248">
              <w:t>Malik Azmani, Anna Júlia Donáth, Sophia In 'T Veld, Fabienne Keller, Moritz Körner, Maite Pagazaurtundúa, Michal Šimečka, Ramona Strugariu, Hilde Vautmans</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GREENS/EFA</w:t>
            </w:r>
          </w:p>
        </w:tc>
        <w:tc>
          <w:tcPr>
            <w:tcW w:w="7371" w:type="dxa"/>
            <w:shd w:val="clear" w:color="auto" w:fill="FFFFFF"/>
          </w:tcPr>
          <w:p w:rsidR="00DB4291" w:rsidRPr="00FB1248" w:rsidRDefault="00DB4291" w:rsidP="00AF32F1">
            <w:pPr>
              <w:pStyle w:val="RollCallTable"/>
            </w:pPr>
            <w:r w:rsidRPr="00FB1248">
              <w:t>Patrick Breyer, Saskia Bricmont, Damien Carême, Alice Kuhnke, Tineke Strik</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ECR</w:t>
            </w:r>
          </w:p>
        </w:tc>
        <w:tc>
          <w:tcPr>
            <w:tcW w:w="7371" w:type="dxa"/>
            <w:shd w:val="clear" w:color="auto" w:fill="FFFFFF"/>
          </w:tcPr>
          <w:p w:rsidR="00DB4291" w:rsidRPr="00FB1248" w:rsidRDefault="00DB4291" w:rsidP="00AF32F1">
            <w:pPr>
              <w:pStyle w:val="RollCallTable"/>
            </w:pPr>
            <w:r w:rsidRPr="00FB1248">
              <w:t>Jorge Buxadé Villalba, Assita Kanko</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EUL/NGL</w:t>
            </w:r>
          </w:p>
        </w:tc>
        <w:tc>
          <w:tcPr>
            <w:tcW w:w="7371" w:type="dxa"/>
            <w:shd w:val="clear" w:color="auto" w:fill="FFFFFF"/>
          </w:tcPr>
          <w:p w:rsidR="00DB4291" w:rsidRPr="00FB1248" w:rsidRDefault="00DB4291" w:rsidP="00AF32F1">
            <w:pPr>
              <w:pStyle w:val="RollCallTable"/>
            </w:pPr>
            <w:r w:rsidRPr="00FB1248">
              <w:t>Konstantinos Arvanitis, Pernando Barrena Arza, Cornelia Ernst, Anne-Sophie Pelletier</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NI</w:t>
            </w:r>
          </w:p>
        </w:tc>
        <w:tc>
          <w:tcPr>
            <w:tcW w:w="7371" w:type="dxa"/>
            <w:shd w:val="clear" w:color="auto" w:fill="FFFFFF"/>
          </w:tcPr>
          <w:p w:rsidR="00DB4291" w:rsidRPr="00FB1248" w:rsidRDefault="00DB4291" w:rsidP="00AF32F1">
            <w:pPr>
              <w:pStyle w:val="RollCallTable"/>
            </w:pPr>
            <w:r w:rsidRPr="00FB1248">
              <w:t>Martin Sonneborn, Milan Uhrík</w:t>
            </w:r>
          </w:p>
        </w:tc>
      </w:tr>
    </w:tbl>
    <w:p w:rsidR="00DB4291" w:rsidRPr="00FB1248" w:rsidRDefault="00DB4291" w:rsidP="00DB429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4291" w:rsidRPr="00FB1248" w:rsidTr="00AF32F1">
        <w:trPr>
          <w:cantSplit/>
        </w:trPr>
        <w:tc>
          <w:tcPr>
            <w:tcW w:w="1701" w:type="dxa"/>
            <w:shd w:val="pct10" w:color="000000" w:fill="FFFFFF"/>
            <w:vAlign w:val="center"/>
          </w:tcPr>
          <w:p w:rsidR="00DB4291" w:rsidRPr="00FB1248" w:rsidRDefault="00DB4291" w:rsidP="00AF32F1">
            <w:pPr>
              <w:pStyle w:val="RollCallVotes"/>
            </w:pPr>
            <w:r w:rsidRPr="00FB1248">
              <w:t>3</w:t>
            </w:r>
          </w:p>
        </w:tc>
        <w:tc>
          <w:tcPr>
            <w:tcW w:w="7371" w:type="dxa"/>
            <w:shd w:val="pct10" w:color="000000" w:fill="FFFFFF"/>
          </w:tcPr>
          <w:p w:rsidR="00DB4291" w:rsidRPr="00FB1248" w:rsidRDefault="00DB4291" w:rsidP="00AF32F1">
            <w:pPr>
              <w:pStyle w:val="RollCallSymbols14pt"/>
            </w:pPr>
            <w:r w:rsidRPr="00FB1248">
              <w:t>-</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ECR</w:t>
            </w:r>
          </w:p>
        </w:tc>
        <w:tc>
          <w:tcPr>
            <w:tcW w:w="7371" w:type="dxa"/>
            <w:shd w:val="clear" w:color="auto" w:fill="FFFFFF"/>
          </w:tcPr>
          <w:p w:rsidR="00DB4291" w:rsidRPr="00FB1248" w:rsidRDefault="00DB4291" w:rsidP="00AF32F1">
            <w:pPr>
              <w:pStyle w:val="RollCallTable"/>
            </w:pPr>
            <w:r w:rsidRPr="00FB1248">
              <w:t>Patryk Jaki, Rob Rooken</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NI</w:t>
            </w:r>
          </w:p>
        </w:tc>
        <w:tc>
          <w:tcPr>
            <w:tcW w:w="7371" w:type="dxa"/>
            <w:shd w:val="clear" w:color="auto" w:fill="FFFFFF"/>
          </w:tcPr>
          <w:p w:rsidR="00DB4291" w:rsidRPr="00FB1248" w:rsidRDefault="00DB4291" w:rsidP="00AF32F1">
            <w:pPr>
              <w:pStyle w:val="RollCallTable"/>
            </w:pPr>
            <w:r w:rsidRPr="00FB1248">
              <w:t>Kostas Papadakis</w:t>
            </w:r>
          </w:p>
        </w:tc>
      </w:tr>
    </w:tbl>
    <w:p w:rsidR="00DB4291" w:rsidRPr="00FB1248" w:rsidRDefault="00DB4291" w:rsidP="00DB429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B4291" w:rsidRPr="00FB1248" w:rsidTr="00AF32F1">
        <w:trPr>
          <w:cantSplit/>
        </w:trPr>
        <w:tc>
          <w:tcPr>
            <w:tcW w:w="1701" w:type="dxa"/>
            <w:shd w:val="pct10" w:color="000000" w:fill="FFFFFF"/>
            <w:vAlign w:val="center"/>
          </w:tcPr>
          <w:p w:rsidR="00DB4291" w:rsidRPr="00FB1248" w:rsidRDefault="00DB4291" w:rsidP="00AF32F1">
            <w:pPr>
              <w:pStyle w:val="RollCallVotes"/>
            </w:pPr>
            <w:r w:rsidRPr="00FB1248">
              <w:t>7</w:t>
            </w:r>
          </w:p>
        </w:tc>
        <w:tc>
          <w:tcPr>
            <w:tcW w:w="7371" w:type="dxa"/>
            <w:shd w:val="pct10" w:color="000000" w:fill="FFFFFF"/>
          </w:tcPr>
          <w:p w:rsidR="00DB4291" w:rsidRPr="00FB1248" w:rsidRDefault="00DB4291" w:rsidP="00AF32F1">
            <w:pPr>
              <w:pStyle w:val="RollCallSymbols14pt"/>
            </w:pPr>
            <w:r w:rsidRPr="00FB1248">
              <w:t>0</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ID</w:t>
            </w:r>
          </w:p>
        </w:tc>
        <w:tc>
          <w:tcPr>
            <w:tcW w:w="7371" w:type="dxa"/>
            <w:shd w:val="clear" w:color="auto" w:fill="FFFFFF"/>
          </w:tcPr>
          <w:p w:rsidR="00DB4291" w:rsidRPr="00FB1248" w:rsidRDefault="00DB4291" w:rsidP="00AF32F1">
            <w:pPr>
              <w:pStyle w:val="RollCallTable"/>
            </w:pPr>
            <w:r w:rsidRPr="00FB1248">
              <w:t>Nicolas Bay, Nicolaus Fest, Jean-Paul Garraud, Peter Kofod, Annalisa Tardino, Tom Vandendriessche</w:t>
            </w:r>
          </w:p>
        </w:tc>
      </w:tr>
      <w:tr w:rsidR="00DB4291" w:rsidRPr="00FB1248" w:rsidTr="00AF32F1">
        <w:trPr>
          <w:cantSplit/>
        </w:trPr>
        <w:tc>
          <w:tcPr>
            <w:tcW w:w="1701" w:type="dxa"/>
            <w:shd w:val="clear" w:color="auto" w:fill="FFFFFF"/>
          </w:tcPr>
          <w:p w:rsidR="00DB4291" w:rsidRPr="00FB1248" w:rsidRDefault="00DB4291" w:rsidP="00AF32F1">
            <w:pPr>
              <w:pStyle w:val="RollCallTable"/>
            </w:pPr>
            <w:r w:rsidRPr="00FB1248">
              <w:t>ECR</w:t>
            </w:r>
          </w:p>
        </w:tc>
        <w:tc>
          <w:tcPr>
            <w:tcW w:w="7371" w:type="dxa"/>
            <w:shd w:val="clear" w:color="auto" w:fill="FFFFFF"/>
          </w:tcPr>
          <w:p w:rsidR="00DB4291" w:rsidRPr="00FB1248" w:rsidRDefault="00DB4291" w:rsidP="00AF32F1">
            <w:pPr>
              <w:pStyle w:val="RollCallTable"/>
            </w:pPr>
            <w:r w:rsidRPr="00FB1248">
              <w:t>Nicola Procaccini</w:t>
            </w:r>
          </w:p>
        </w:tc>
      </w:tr>
    </w:tbl>
    <w:p w:rsidR="00DB4291" w:rsidRPr="00FB1248" w:rsidRDefault="00DB4291" w:rsidP="00DB4291">
      <w:pPr>
        <w:pStyle w:val="Normal12a"/>
      </w:pPr>
    </w:p>
    <w:p w:rsidR="00DB4291" w:rsidRPr="00FB1248" w:rsidRDefault="00DB4291" w:rsidP="00DB4291">
      <w:r w:rsidRPr="00FB1248">
        <w:t>Erklärung der benutzten Zeichen:</w:t>
      </w:r>
    </w:p>
    <w:p w:rsidR="00DB4291" w:rsidRPr="00FB1248" w:rsidRDefault="00DB4291" w:rsidP="00DB4291">
      <w:pPr>
        <w:pStyle w:val="RollCallTabs"/>
      </w:pPr>
      <w:r w:rsidRPr="00FB1248">
        <w:t>+</w:t>
      </w:r>
      <w:r w:rsidRPr="00FB1248">
        <w:tab/>
        <w:t>:</w:t>
      </w:r>
      <w:r w:rsidRPr="00FB1248">
        <w:tab/>
        <w:t>dafür</w:t>
      </w:r>
    </w:p>
    <w:p w:rsidR="00DB4291" w:rsidRPr="00FB1248" w:rsidRDefault="00DB4291" w:rsidP="00DB4291">
      <w:pPr>
        <w:pStyle w:val="RollCallTabs"/>
      </w:pPr>
      <w:r w:rsidRPr="00FB1248">
        <w:t>-</w:t>
      </w:r>
      <w:r w:rsidRPr="00FB1248">
        <w:tab/>
        <w:t>:</w:t>
      </w:r>
      <w:r w:rsidRPr="00FB1248">
        <w:tab/>
        <w:t>dagegen</w:t>
      </w:r>
    </w:p>
    <w:p w:rsidR="00DB4291" w:rsidRPr="00FB1248" w:rsidRDefault="00DB4291" w:rsidP="00DB4291">
      <w:pPr>
        <w:pStyle w:val="RollCallTabs"/>
      </w:pPr>
      <w:r w:rsidRPr="00FB1248">
        <w:t>0</w:t>
      </w:r>
      <w:r w:rsidRPr="00FB1248">
        <w:tab/>
        <w:t>:</w:t>
      </w:r>
      <w:r w:rsidRPr="00FB1248">
        <w:tab/>
        <w:t>Enthaltung</w:t>
      </w:r>
    </w:p>
    <w:p w:rsidR="00DB4291" w:rsidRPr="00FB1248" w:rsidRDefault="00DB4291" w:rsidP="00DB4291"/>
    <w:bookmarkEnd w:id="8"/>
    <w:p w:rsidR="00DB4291" w:rsidRPr="00FB1248" w:rsidRDefault="00DB4291" w:rsidP="00DB4291"/>
    <w:p w:rsidR="004F56E2" w:rsidRPr="00FB1248" w:rsidRDefault="004F56E2" w:rsidP="005404FC"/>
    <w:sectPr w:rsidR="004F56E2" w:rsidRPr="00FB1248" w:rsidSect="0092710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6C" w:rsidRPr="00876394" w:rsidRDefault="00F1046C">
      <w:r w:rsidRPr="00876394">
        <w:separator/>
      </w:r>
    </w:p>
  </w:endnote>
  <w:endnote w:type="continuationSeparator" w:id="0">
    <w:p w:rsidR="00F1046C" w:rsidRPr="00876394" w:rsidRDefault="00F1046C">
      <w:r w:rsidRPr="008763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FC" w:rsidRDefault="005404FC" w:rsidP="005404FC">
    <w:pPr>
      <w:pStyle w:val="EPFooter"/>
    </w:pPr>
    <w:r>
      <w:t>PE</w:t>
    </w:r>
    <w:r w:rsidRPr="005404FC">
      <w:rPr>
        <w:rStyle w:val="HideTWBExt"/>
      </w:rPr>
      <w:t>&lt;NoPE&gt;</w:t>
    </w:r>
    <w:r>
      <w:t>642.979</w:t>
    </w:r>
    <w:r w:rsidRPr="005404FC">
      <w:rPr>
        <w:rStyle w:val="HideTWBExt"/>
      </w:rPr>
      <w:t>&lt;/NoPE&gt;&lt;Version&gt;</w:t>
    </w:r>
    <w:r>
      <w:t>v03-00</w:t>
    </w:r>
    <w:r w:rsidRPr="005404FC">
      <w:rPr>
        <w:rStyle w:val="HideTWBExt"/>
      </w:rPr>
      <w:t>&lt;/Version&gt;</w:t>
    </w:r>
    <w:r>
      <w:tab/>
    </w:r>
    <w:r>
      <w:fldChar w:fldCharType="begin"/>
    </w:r>
    <w:r>
      <w:instrText xml:space="preserve"> PAGE  \* MERGEFORMAT </w:instrText>
    </w:r>
    <w:r>
      <w:fldChar w:fldCharType="separate"/>
    </w:r>
    <w:r w:rsidR="009A07C0">
      <w:rPr>
        <w:noProof/>
      </w:rPr>
      <w:t>4</w:t>
    </w:r>
    <w:r>
      <w:fldChar w:fldCharType="end"/>
    </w:r>
    <w:r>
      <w:t>/</w:t>
    </w:r>
    <w:r w:rsidR="009A07C0">
      <w:fldChar w:fldCharType="begin"/>
    </w:r>
    <w:r w:rsidR="009A07C0">
      <w:instrText xml:space="preserve"> NUMPAGES  \* MERGEFORMAT </w:instrText>
    </w:r>
    <w:r w:rsidR="009A07C0">
      <w:fldChar w:fldCharType="separate"/>
    </w:r>
    <w:r w:rsidR="009A07C0">
      <w:rPr>
        <w:noProof/>
      </w:rPr>
      <w:t>4</w:t>
    </w:r>
    <w:r w:rsidR="009A07C0">
      <w:rPr>
        <w:noProof/>
      </w:rPr>
      <w:fldChar w:fldCharType="end"/>
    </w:r>
    <w:r>
      <w:tab/>
    </w:r>
    <w:r w:rsidRPr="005404FC">
      <w:rPr>
        <w:rStyle w:val="HideTWBExt"/>
      </w:rPr>
      <w:t>&lt;PathFdR&gt;</w:t>
    </w:r>
    <w:r>
      <w:t>RR\1220563DE.docx</w:t>
    </w:r>
    <w:r w:rsidRPr="005404FC">
      <w:rPr>
        <w:rStyle w:val="HideTWBExt"/>
      </w:rPr>
      <w:t>&lt;/PathFdR&gt;</w:t>
    </w:r>
  </w:p>
  <w:p w:rsidR="004D2315" w:rsidRPr="00876394" w:rsidRDefault="005404FC" w:rsidP="005404FC">
    <w:pPr>
      <w:pStyle w:val="EPFooter2"/>
    </w:pPr>
    <w: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FC" w:rsidRDefault="005404FC" w:rsidP="005404FC">
    <w:pPr>
      <w:pStyle w:val="EPFooter"/>
    </w:pPr>
    <w:r w:rsidRPr="005404FC">
      <w:rPr>
        <w:rStyle w:val="HideTWBExt"/>
      </w:rPr>
      <w:t>&lt;PathFdR&gt;</w:t>
    </w:r>
    <w:r>
      <w:t>RR\1220563DE.docx</w:t>
    </w:r>
    <w:r w:rsidRPr="005404FC">
      <w:rPr>
        <w:rStyle w:val="HideTWBExt"/>
      </w:rPr>
      <w:t>&lt;/PathFdR&gt;</w:t>
    </w:r>
    <w:r>
      <w:tab/>
    </w:r>
    <w:r>
      <w:fldChar w:fldCharType="begin"/>
    </w:r>
    <w:r>
      <w:instrText xml:space="preserve"> PAGE  \* MERGEFORMAT </w:instrText>
    </w:r>
    <w:r>
      <w:fldChar w:fldCharType="separate"/>
    </w:r>
    <w:r w:rsidR="009A07C0">
      <w:rPr>
        <w:noProof/>
      </w:rPr>
      <w:t>5</w:t>
    </w:r>
    <w:r>
      <w:fldChar w:fldCharType="end"/>
    </w:r>
    <w:r>
      <w:t>/</w:t>
    </w:r>
    <w:r w:rsidR="009A07C0">
      <w:fldChar w:fldCharType="begin"/>
    </w:r>
    <w:r w:rsidR="009A07C0">
      <w:instrText xml:space="preserve"> NUMPAGES  \* MERGEFORMAT </w:instrText>
    </w:r>
    <w:r w:rsidR="009A07C0">
      <w:fldChar w:fldCharType="separate"/>
    </w:r>
    <w:r w:rsidR="009A07C0">
      <w:rPr>
        <w:noProof/>
      </w:rPr>
      <w:t>5</w:t>
    </w:r>
    <w:r w:rsidR="009A07C0">
      <w:rPr>
        <w:noProof/>
      </w:rPr>
      <w:fldChar w:fldCharType="end"/>
    </w:r>
    <w:r>
      <w:tab/>
      <w:t>PE</w:t>
    </w:r>
    <w:r w:rsidRPr="005404FC">
      <w:rPr>
        <w:rStyle w:val="HideTWBExt"/>
      </w:rPr>
      <w:t>&lt;NoPE&gt;</w:t>
    </w:r>
    <w:r>
      <w:t>642.979</w:t>
    </w:r>
    <w:r w:rsidRPr="005404FC">
      <w:rPr>
        <w:rStyle w:val="HideTWBExt"/>
      </w:rPr>
      <w:t>&lt;/NoPE&gt;&lt;Version&gt;</w:t>
    </w:r>
    <w:r>
      <w:t>v03-00</w:t>
    </w:r>
    <w:r w:rsidRPr="005404FC">
      <w:rPr>
        <w:rStyle w:val="HideTWBExt"/>
      </w:rPr>
      <w:t>&lt;/Version&gt;</w:t>
    </w:r>
  </w:p>
  <w:p w:rsidR="004D2315" w:rsidRPr="00876394" w:rsidRDefault="005404FC" w:rsidP="005404FC">
    <w:pPr>
      <w:pStyle w:val="EPFooter2"/>
    </w:pPr>
    <w:r>
      <w:tab/>
    </w:r>
    <w:r>
      <w:tab/>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FC" w:rsidRDefault="005404FC" w:rsidP="005404FC">
    <w:pPr>
      <w:pStyle w:val="EPFooter"/>
    </w:pPr>
    <w:r w:rsidRPr="005404FC">
      <w:rPr>
        <w:rStyle w:val="HideTWBExt"/>
      </w:rPr>
      <w:t>&lt;PathFdR&gt;</w:t>
    </w:r>
    <w:r>
      <w:t>RR\1220563DE.docx</w:t>
    </w:r>
    <w:r w:rsidRPr="005404FC">
      <w:rPr>
        <w:rStyle w:val="HideTWBExt"/>
      </w:rPr>
      <w:t>&lt;/PathFdR&gt;</w:t>
    </w:r>
    <w:r>
      <w:tab/>
    </w:r>
    <w:r>
      <w:tab/>
      <w:t>PE</w:t>
    </w:r>
    <w:r w:rsidRPr="005404FC">
      <w:rPr>
        <w:rStyle w:val="HideTWBExt"/>
      </w:rPr>
      <w:t>&lt;NoPE&gt;</w:t>
    </w:r>
    <w:r>
      <w:t>642.979</w:t>
    </w:r>
    <w:r w:rsidRPr="005404FC">
      <w:rPr>
        <w:rStyle w:val="HideTWBExt"/>
      </w:rPr>
      <w:t>&lt;/NoPE&gt;&lt;Version&gt;</w:t>
    </w:r>
    <w:r>
      <w:t>v03-00</w:t>
    </w:r>
    <w:r w:rsidRPr="005404FC">
      <w:rPr>
        <w:rStyle w:val="HideTWBExt"/>
      </w:rPr>
      <w:t>&lt;/Version&gt;</w:t>
    </w:r>
  </w:p>
  <w:p w:rsidR="004D2315" w:rsidRPr="00876394" w:rsidRDefault="005404FC" w:rsidP="005404FC">
    <w:pPr>
      <w:pStyle w:val="EPFooter2"/>
    </w:pPr>
    <w:r>
      <w:t>DE</w:t>
    </w:r>
    <w:r>
      <w:tab/>
    </w:r>
    <w:r w:rsidRPr="005404FC">
      <w:rPr>
        <w:b w:val="0"/>
        <w:i/>
        <w:color w:val="C0C0C0"/>
        <w:sz w:val="22"/>
      </w:rPr>
      <w:t>In Vielfalt geeint</w:t>
    </w:r>
    <w:r>
      <w:tab/>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6C" w:rsidRPr="00876394" w:rsidRDefault="00F1046C">
      <w:r w:rsidRPr="00876394">
        <w:separator/>
      </w:r>
    </w:p>
  </w:footnote>
  <w:footnote w:type="continuationSeparator" w:id="0">
    <w:p w:rsidR="00F1046C" w:rsidRPr="00876394" w:rsidRDefault="00F1046C">
      <w:r w:rsidRPr="0087639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91" w:rsidRDefault="00DB4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91" w:rsidRDefault="00DB4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91" w:rsidRDefault="00DB4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OMKEY" w:val="LIBE"/>
    <w:docVar w:name="DOCMNU" w:val=" 2"/>
    <w:docVar w:name="LastEditedSection" w:val=" 1"/>
    <w:docVar w:name="strDocTypeID" w:val="CONV"/>
    <w:docVar w:name="strSubDir" w:val="1220"/>
    <w:docVar w:name="TXTLANGUE" w:val="DE"/>
    <w:docVar w:name="TXTLANGUEMIN" w:val="de"/>
    <w:docVar w:name="TXTNRC" w:val="0154/2018"/>
    <w:docVar w:name="TXTNRCOD" w:val="2018/0107"/>
    <w:docVar w:name="TXTNRCOM" w:val="(2018)0226"/>
    <w:docVar w:name="TXTNRPE" w:val="642.979"/>
    <w:docVar w:name="TXTPEorAP" w:val="PE"/>
    <w:docVar w:name="TXTROUTE" w:val="RR\1220563DE.docx"/>
    <w:docVar w:name="TXTVERSION" w:val="03-00"/>
  </w:docVars>
  <w:rsids>
    <w:rsidRoot w:val="00F1046C"/>
    <w:rsid w:val="00070D8A"/>
    <w:rsid w:val="000860EB"/>
    <w:rsid w:val="000B02A1"/>
    <w:rsid w:val="000E7169"/>
    <w:rsid w:val="00104AEE"/>
    <w:rsid w:val="001701B3"/>
    <w:rsid w:val="001907B9"/>
    <w:rsid w:val="001918C9"/>
    <w:rsid w:val="001A06D8"/>
    <w:rsid w:val="001B2CDB"/>
    <w:rsid w:val="001C6BD0"/>
    <w:rsid w:val="0029140D"/>
    <w:rsid w:val="002B272A"/>
    <w:rsid w:val="00302A66"/>
    <w:rsid w:val="00390871"/>
    <w:rsid w:val="003A759D"/>
    <w:rsid w:val="0040208D"/>
    <w:rsid w:val="00423799"/>
    <w:rsid w:val="0046298F"/>
    <w:rsid w:val="00474855"/>
    <w:rsid w:val="004864FF"/>
    <w:rsid w:val="004956E2"/>
    <w:rsid w:val="004B1437"/>
    <w:rsid w:val="004D2315"/>
    <w:rsid w:val="004D7B3B"/>
    <w:rsid w:val="004E3260"/>
    <w:rsid w:val="004F56E2"/>
    <w:rsid w:val="00526A67"/>
    <w:rsid w:val="00531549"/>
    <w:rsid w:val="005404FC"/>
    <w:rsid w:val="00543B7B"/>
    <w:rsid w:val="00545533"/>
    <w:rsid w:val="005B071F"/>
    <w:rsid w:val="005B44BF"/>
    <w:rsid w:val="00612257"/>
    <w:rsid w:val="00625DD0"/>
    <w:rsid w:val="006537C0"/>
    <w:rsid w:val="006834D2"/>
    <w:rsid w:val="0070203D"/>
    <w:rsid w:val="007722DB"/>
    <w:rsid w:val="007B7102"/>
    <w:rsid w:val="007D611D"/>
    <w:rsid w:val="008429C2"/>
    <w:rsid w:val="00876394"/>
    <w:rsid w:val="00883BA2"/>
    <w:rsid w:val="008E22DF"/>
    <w:rsid w:val="00927105"/>
    <w:rsid w:val="009A07C0"/>
    <w:rsid w:val="009A0FBE"/>
    <w:rsid w:val="00A26615"/>
    <w:rsid w:val="00A43E6A"/>
    <w:rsid w:val="00AD26AD"/>
    <w:rsid w:val="00AF180A"/>
    <w:rsid w:val="00AF45FF"/>
    <w:rsid w:val="00AF7573"/>
    <w:rsid w:val="00B25523"/>
    <w:rsid w:val="00B37926"/>
    <w:rsid w:val="00BC2BDF"/>
    <w:rsid w:val="00BD28D4"/>
    <w:rsid w:val="00BE4EC7"/>
    <w:rsid w:val="00C13C52"/>
    <w:rsid w:val="00C4070B"/>
    <w:rsid w:val="00C54859"/>
    <w:rsid w:val="00C71A3C"/>
    <w:rsid w:val="00C71F7C"/>
    <w:rsid w:val="00C82EBC"/>
    <w:rsid w:val="00CC1CD0"/>
    <w:rsid w:val="00CE44DE"/>
    <w:rsid w:val="00D97AFD"/>
    <w:rsid w:val="00D97EE5"/>
    <w:rsid w:val="00DB4291"/>
    <w:rsid w:val="00DC3DED"/>
    <w:rsid w:val="00DF1CF2"/>
    <w:rsid w:val="00E37988"/>
    <w:rsid w:val="00E629B6"/>
    <w:rsid w:val="00EB1022"/>
    <w:rsid w:val="00ED04C2"/>
    <w:rsid w:val="00ED0609"/>
    <w:rsid w:val="00ED0821"/>
    <w:rsid w:val="00F04200"/>
    <w:rsid w:val="00F1046C"/>
    <w:rsid w:val="00F7466A"/>
    <w:rsid w:val="00FB1248"/>
    <w:rsid w:val="00FC479A"/>
    <w:rsid w:val="00FF1C0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BA5B9D-E5B2-4409-A4C0-B58FD996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49"/>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ED04C2"/>
    <w:pPr>
      <w:spacing w:before="480" w:after="240"/>
    </w:pPr>
  </w:style>
  <w:style w:type="paragraph" w:styleId="TOC1">
    <w:name w:val="toc 1"/>
    <w:basedOn w:val="Normal"/>
    <w:next w:val="Normal"/>
    <w:autoRedefine/>
    <w:uiPriority w:val="39"/>
    <w:rsid w:val="00AF45FF"/>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4864FF"/>
    <w:pPr>
      <w:spacing w:before="80" w:after="80"/>
    </w:pPr>
    <w:rPr>
      <w:rFonts w:ascii="Arial Narrow" w:hAnsi="Arial Narrow" w:cs="Arial"/>
      <w:b/>
      <w:sz w:val="32"/>
      <w:szCs w:val="22"/>
    </w:rPr>
  </w:style>
  <w:style w:type="paragraph" w:customStyle="1" w:styleId="CoverNormal24a">
    <w:name w:val="CoverNormal24a"/>
    <w:basedOn w:val="Normal"/>
    <w:rsid w:val="001918C9"/>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0B02A1"/>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1918C9"/>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4956E2"/>
    <w:pPr>
      <w:tabs>
        <w:tab w:val="center" w:pos="4513"/>
        <w:tab w:val="right" w:pos="902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71A3C"/>
    <w:pPr>
      <w:jc w:val="center"/>
    </w:pPr>
    <w:rPr>
      <w:rFonts w:ascii="Arial" w:hAnsi="Arial" w:cs="Arial"/>
      <w:i/>
      <w:sz w:val="22"/>
      <w:szCs w:val="22"/>
    </w:rPr>
  </w:style>
  <w:style w:type="paragraph" w:customStyle="1" w:styleId="LineTop">
    <w:name w:val="LineTop"/>
    <w:basedOn w:val="Normal"/>
    <w:next w:val="Normal"/>
    <w:rsid w:val="00C71A3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71A3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4864FF"/>
    <w:pPr>
      <w:spacing w:after="80"/>
    </w:pPr>
    <w:rPr>
      <w:rFonts w:ascii="Arial" w:hAnsi="Arial" w:cs="Arial"/>
      <w:sz w:val="20"/>
      <w:szCs w:val="22"/>
    </w:rPr>
  </w:style>
  <w:style w:type="paragraph" w:customStyle="1" w:styleId="EPLogo">
    <w:name w:val="EPLogo"/>
    <w:basedOn w:val="Normal"/>
    <w:qFormat/>
    <w:rsid w:val="004864FF"/>
    <w:pPr>
      <w:jc w:val="right"/>
    </w:pPr>
  </w:style>
  <w:style w:type="paragraph" w:customStyle="1" w:styleId="EPFooter">
    <w:name w:val="EPFooter"/>
    <w:basedOn w:val="Normal"/>
    <w:rsid w:val="001918C9"/>
    <w:pPr>
      <w:tabs>
        <w:tab w:val="center" w:pos="4535"/>
        <w:tab w:val="right" w:pos="9071"/>
      </w:tabs>
      <w:spacing w:before="240" w:after="240"/>
    </w:pPr>
    <w:rPr>
      <w:color w:val="010000"/>
      <w:sz w:val="22"/>
    </w:rPr>
  </w:style>
  <w:style w:type="character" w:styleId="PageNumber">
    <w:name w:val="page number"/>
    <w:basedOn w:val="DefaultParagraphFont"/>
    <w:semiHidden/>
    <w:rsid w:val="003A759D"/>
  </w:style>
  <w:style w:type="character" w:customStyle="1" w:styleId="HeaderChar">
    <w:name w:val="Header Char"/>
    <w:basedOn w:val="DefaultParagraphFont"/>
    <w:link w:val="Header"/>
    <w:semiHidden/>
    <w:rsid w:val="004956E2"/>
    <w:rPr>
      <w:sz w:val="24"/>
    </w:rPr>
  </w:style>
  <w:style w:type="paragraph" w:customStyle="1" w:styleId="Lgendesigne">
    <w:name w:val="Légende signe"/>
    <w:basedOn w:val="Normal"/>
    <w:rsid w:val="00C13C52"/>
    <w:pPr>
      <w:tabs>
        <w:tab w:val="right" w:pos="454"/>
        <w:tab w:val="left" w:pos="737"/>
      </w:tabs>
      <w:ind w:left="737" w:hanging="737"/>
    </w:pPr>
    <w:rPr>
      <w:snapToGrid w:val="0"/>
      <w:sz w:val="18"/>
      <w:lang w:eastAsia="en-US"/>
    </w:rPr>
  </w:style>
  <w:style w:type="paragraph" w:customStyle="1" w:styleId="Lgendetitre">
    <w:name w:val="Légende titre"/>
    <w:basedOn w:val="Normal"/>
    <w:rsid w:val="00C13C52"/>
    <w:pPr>
      <w:spacing w:before="240" w:after="240"/>
    </w:pPr>
    <w:rPr>
      <w:b/>
      <w:i/>
      <w:snapToGrid w:val="0"/>
      <w:lang w:eastAsia="en-US"/>
    </w:rPr>
  </w:style>
  <w:style w:type="paragraph" w:customStyle="1" w:styleId="Lgendestandard">
    <w:name w:val="Légende standard"/>
    <w:basedOn w:val="Normal"/>
    <w:rsid w:val="00C13C52"/>
    <w:rPr>
      <w:sz w:val="18"/>
    </w:rPr>
  </w:style>
  <w:style w:type="paragraph" w:styleId="Footer">
    <w:name w:val="footer"/>
    <w:basedOn w:val="Normal"/>
    <w:link w:val="FooterChar"/>
    <w:semiHidden/>
    <w:rsid w:val="00C13C52"/>
    <w:pPr>
      <w:tabs>
        <w:tab w:val="center" w:pos="4513"/>
        <w:tab w:val="right" w:pos="9026"/>
      </w:tabs>
    </w:pPr>
  </w:style>
  <w:style w:type="character" w:customStyle="1" w:styleId="FooterChar">
    <w:name w:val="Footer Char"/>
    <w:basedOn w:val="DefaultParagraphFont"/>
    <w:link w:val="Footer"/>
    <w:semiHidden/>
    <w:rsid w:val="00C13C52"/>
    <w:rPr>
      <w:sz w:val="24"/>
      <w:lang w:val="de-DE"/>
    </w:rPr>
  </w:style>
  <w:style w:type="paragraph" w:customStyle="1" w:styleId="Normal12a">
    <w:name w:val="Normal12a"/>
    <w:basedOn w:val="Normal"/>
    <w:rsid w:val="00DB4291"/>
    <w:pPr>
      <w:spacing w:after="240"/>
    </w:pPr>
  </w:style>
  <w:style w:type="paragraph" w:customStyle="1" w:styleId="RollCallVotes">
    <w:name w:val="RollCallVotes"/>
    <w:basedOn w:val="Normal"/>
    <w:rsid w:val="00DB4291"/>
    <w:pPr>
      <w:spacing w:before="120" w:after="120"/>
      <w:jc w:val="center"/>
    </w:pPr>
    <w:rPr>
      <w:b/>
      <w:bCs/>
      <w:snapToGrid w:val="0"/>
      <w:sz w:val="16"/>
      <w:lang w:eastAsia="en-US"/>
    </w:rPr>
  </w:style>
  <w:style w:type="paragraph" w:customStyle="1" w:styleId="RollCallTabs">
    <w:name w:val="RollCallTabs"/>
    <w:basedOn w:val="Normal"/>
    <w:qFormat/>
    <w:rsid w:val="00DB4291"/>
    <w:pPr>
      <w:tabs>
        <w:tab w:val="center" w:pos="284"/>
        <w:tab w:val="left" w:pos="426"/>
      </w:tabs>
    </w:pPr>
    <w:rPr>
      <w:snapToGrid w:val="0"/>
      <w:lang w:eastAsia="en-US"/>
    </w:rPr>
  </w:style>
  <w:style w:type="paragraph" w:customStyle="1" w:styleId="RollCallSymbols14pt">
    <w:name w:val="RollCallSymbols14pt"/>
    <w:basedOn w:val="Normal"/>
    <w:rsid w:val="00DB4291"/>
    <w:pPr>
      <w:spacing w:before="120" w:after="120"/>
      <w:jc w:val="center"/>
    </w:pPr>
    <w:rPr>
      <w:rFonts w:ascii="Arial" w:hAnsi="Arial"/>
      <w:b/>
      <w:bCs/>
      <w:snapToGrid w:val="0"/>
      <w:sz w:val="28"/>
      <w:lang w:eastAsia="en-US"/>
    </w:rPr>
  </w:style>
  <w:style w:type="paragraph" w:customStyle="1" w:styleId="RollCallTable">
    <w:name w:val="RollCallTable"/>
    <w:basedOn w:val="Normal"/>
    <w:rsid w:val="00DB4291"/>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7382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PR_COD_1rej</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PR_COD_1rej</dc:title>
  <dc:subject/>
  <dc:creator>HOLBACH Jutta</dc:creator>
  <cp:keywords/>
  <dc:description/>
  <cp:lastModifiedBy>HARTMANN Sarah-Maria</cp:lastModifiedBy>
  <cp:revision>2</cp:revision>
  <cp:lastPrinted>2004-11-04T10:10:00Z</cp:lastPrinted>
  <dcterms:created xsi:type="dcterms:W3CDTF">2021-08-17T11:29:00Z</dcterms:created>
  <dcterms:modified xsi:type="dcterms:W3CDTF">2021-08-17T11:29:00Z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9.9.1 Build [20200705]</vt:lpwstr>
  </property>
  <property fmtid="{D5CDD505-2E9C-101B-9397-08002B2CF9AE}" pid="4" name="&lt;FdR&gt;">
    <vt:lpwstr>1220563</vt:lpwstr>
  </property>
  <property fmtid="{D5CDD505-2E9C-101B-9397-08002B2CF9AE}" pid="5" name="&lt;Type&gt;">
    <vt:lpwstr>RR</vt:lpwstr>
  </property>
  <property fmtid="{D5CDD505-2E9C-101B-9397-08002B2CF9AE}" pid="6" name="&lt;ModelCod&gt;">
    <vt:lpwstr>\\eiciLUXpr1\pdocep$\DocEP\DOCS\General\PR\PR_Leg\COD\COD_1st\PR_COD_1rej.dotx(15/10/2019 06:17:24)</vt:lpwstr>
  </property>
  <property fmtid="{D5CDD505-2E9C-101B-9397-08002B2CF9AE}" pid="7" name="&lt;ModelTra&gt;">
    <vt:lpwstr>\\eiciLUXpr1\pdocep$\DocEP\TRANSFIL\DE\PR_COD_1rej.DE(11/10/2019 09:25:29)</vt:lpwstr>
  </property>
  <property fmtid="{D5CDD505-2E9C-101B-9397-08002B2CF9AE}" pid="8" name="&lt;Model&gt;">
    <vt:lpwstr>PR_COD_1rej</vt:lpwstr>
  </property>
  <property fmtid="{D5CDD505-2E9C-101B-9397-08002B2CF9AE}" pid="9" name="FooterPath">
    <vt:lpwstr>RR\1220563DE.docx</vt:lpwstr>
  </property>
  <property fmtid="{D5CDD505-2E9C-101B-9397-08002B2CF9AE}" pid="10" name="PE number">
    <vt:lpwstr>642.979</vt:lpwstr>
  </property>
  <property fmtid="{D5CDD505-2E9C-101B-9397-08002B2CF9AE}" pid="11" name="Bookout">
    <vt:lpwstr>OK - 2021/01/06 11:50</vt:lpwstr>
  </property>
  <property fmtid="{D5CDD505-2E9C-101B-9397-08002B2CF9AE}" pid="12" name="SubscribeElise">
    <vt:lpwstr/>
  </property>
  <property fmtid="{D5CDD505-2E9C-101B-9397-08002B2CF9AE}" pid="13" name="SDLStudio">
    <vt:lpwstr/>
  </property>
  <property fmtid="{D5CDD505-2E9C-101B-9397-08002B2CF9AE}" pid="14" name="&lt;Extension&gt;">
    <vt:lpwstr>DE</vt:lpwstr>
  </property>
</Properties>
</file>